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then performed a tiered reconciliation audit to test whether local GRCh38 reference-based normalization, decomposition-aware equivalence, genome rescue, or same-locus/regional context materially expanded evaluability beyond strict exact matching.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Local GRCh38 reference-based normalization with bcftools norm changed 0/1,731 variant representations, and tiered reconciliation increased strict exact/equivalent allele recovery only modestly, from 350/1,731 (20.2%) to 357/1,731 (20.6%), while 1,326 variants had only locus/regional context and 48 remained unevaluable.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Tiered reconciliation audit</w:t>
      </w:r>
    </w:p>
    <w:p>
      <w:r>
        <w:t>To test whether the apparent representation gap was mainly a normalization artifact, we performed a separate tiered reconciliation audit on the same 1,731-variant analytical cohort. All variants were additionally normalized against a local GRCh38 primary-assembly FASTA using bcftools norm, with a companion multiallelic-decomposition audit using bcftools norm -f GRCh38.fa -m -both. Tier 1 retained exact exome matches and exact genome/no-exome matches. Tier 2 searched for equivalent alleles using reference-based normalization, local +/-2 bp indel-payload equivalence, and unphased decomposition of short multi-base substitutions into component SNVs. Tier 3 captured same-locus or nearby regional gnomAD observation without exact/equivalent allele recovery. Tier 4 remained unevaluable after reconciliation. Reference-based normalization introduced no coordinate or allele changes in the 1,731-variant arrhythmia cohort (0/1,731), indicating that the remaining evaluability gap is not explained by missed left-alignment or trivial trimming. Tier 3 evidence was treated as context only, not as usable allele-frequency evidence.</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r>
        <w:t>We also ran a provenance-aware credibility sensitivity analysis. Because the analytical cohort was already restricted to retained non-conflicting P/LP assertions, no separate internal-conflict label survived into the final arrhythmia table. The implemented filter therefore excluded weak/no-assertion or single-submitter records lacking expert review when they also showed extreme population-frequency inconsistency, defined as max_frequency_signal &gt;1e-4 with qualifying_frequency_ac &gt;=20.</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A tiered reconciliation audit showed that this is not a trivial artifact of an overly rigid exact-match key. Local GRCh38 reference-based normalization with bcftools norm introduced no representation changes in the arrhythmia cohort (0/1,731), and a companion bcftools norm -m -both pass produced no additional multiallelic decomposition relevant to exact/equivalent matching. Adding exact genome/no-exome matches and equivalent-allele recovery therefore increased strict exact/equivalent representation only from 350/1,731 (20.2%) to 357/1,731 (20.6%). The additional recoveries consisted of 5 local-window indel equivalents and 2 decomposed substitution equivalents. The larger gain was contextual, not inferential: 638 variants had same-locus observation with a different allele in gnomAD, 688 had only nearby regional variation, and 48 remained unevaluable even after aggressive local-window reconciliation. Thus, most of the gap reflects structured representation and detectability limits rather than a simple left-alignment or trimming bug.</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Reconciliation layer</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Strict exact/equivalent evidence</w:t>
            </w:r>
          </w:p>
        </w:tc>
        <w:tc>
          <w:tcPr>
            <w:tcW w:type="dxa" w:w="3456"/>
            <w:vAlign w:val="top"/>
          </w:tcPr>
          <w:p>
            <w:pPr>
              <w:jc w:val="left"/>
            </w:pPr>
            <w:r/>
            <w:r>
              <w:rPr>
                <w:b w:val="0"/>
                <w:sz w:val="16"/>
              </w:rPr>
              <w:t>357</w:t>
            </w:r>
          </w:p>
        </w:tc>
        <w:tc>
          <w:tcPr>
            <w:tcW w:type="dxa" w:w="3456"/>
            <w:vAlign w:val="top"/>
          </w:tcPr>
          <w:p>
            <w:pPr>
              <w:jc w:val="left"/>
            </w:pPr>
            <w:r/>
            <w:r>
              <w:rPr>
                <w:b w:val="0"/>
                <w:sz w:val="16"/>
              </w:rPr>
              <w:t>Exact match plus trim/decomposition-aware equivalent recovery</w:t>
            </w:r>
          </w:p>
        </w:tc>
      </w:tr>
      <w:tr>
        <w:tc>
          <w:tcPr>
            <w:tcW w:type="dxa" w:w="3456"/>
            <w:vAlign w:val="top"/>
          </w:tcPr>
          <w:p>
            <w:pPr>
              <w:jc w:val="left"/>
            </w:pPr>
            <w:r/>
            <w:r>
              <w:rPr>
                <w:b w:val="0"/>
                <w:sz w:val="16"/>
              </w:rPr>
              <w:t>Locus/regional context only</w:t>
            </w:r>
          </w:p>
        </w:tc>
        <w:tc>
          <w:tcPr>
            <w:tcW w:type="dxa" w:w="3456"/>
            <w:vAlign w:val="top"/>
          </w:tcPr>
          <w:p>
            <w:pPr>
              <w:jc w:val="left"/>
            </w:pPr>
            <w:r/>
            <w:r>
              <w:rPr>
                <w:b w:val="0"/>
                <w:sz w:val="16"/>
              </w:rPr>
              <w:t>1326</w:t>
            </w:r>
          </w:p>
        </w:tc>
        <w:tc>
          <w:tcPr>
            <w:tcW w:type="dxa" w:w="3456"/>
            <w:vAlign w:val="top"/>
          </w:tcPr>
          <w:p>
            <w:pPr>
              <w:jc w:val="left"/>
            </w:pPr>
            <w:r/>
            <w:r>
              <w:rPr>
                <w:b w:val="0"/>
                <w:sz w:val="16"/>
              </w:rPr>
              <w:t>Same-locus or nearby variation observed, but no usable exact/equivalent AF</w:t>
            </w:r>
          </w:p>
        </w:tc>
      </w:tr>
      <w:tr>
        <w:tc>
          <w:tcPr>
            <w:tcW w:type="dxa" w:w="3456"/>
            <w:vAlign w:val="top"/>
          </w:tcPr>
          <w:p>
            <w:pPr>
              <w:jc w:val="left"/>
            </w:pPr>
            <w:r/>
            <w:r>
              <w:rPr>
                <w:b w:val="0"/>
                <w:sz w:val="16"/>
              </w:rPr>
              <w:t>Still unevaluable after reconciliation</w:t>
            </w:r>
          </w:p>
        </w:tc>
        <w:tc>
          <w:tcPr>
            <w:tcW w:type="dxa" w:w="3456"/>
            <w:vAlign w:val="top"/>
          </w:tcPr>
          <w:p>
            <w:pPr>
              <w:jc w:val="left"/>
            </w:pPr>
            <w:r/>
            <w:r>
              <w:rPr>
                <w:b w:val="0"/>
                <w:sz w:val="16"/>
              </w:rPr>
              <w:t>48</w:t>
            </w:r>
          </w:p>
        </w:tc>
        <w:tc>
          <w:tcPr>
            <w:tcW w:type="dxa" w:w="3456"/>
            <w:vAlign w:val="top"/>
          </w:tcPr>
          <w:p>
            <w:pPr>
              <w:jc w:val="left"/>
            </w:pPr>
            <w:r/>
            <w:r>
              <w:rPr>
                <w:b w:val="0"/>
                <w:sz w:val="16"/>
              </w:rPr>
              <w:t>No exact, equivalent, or local contextual recovery</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Maximum credible AF formalizes the incompatibility</w:t>
      </w:r>
    </w:p>
    <w:p>
      <w:r>
        <w:t>We next expressed the same contradiction using a maximum credible allele-frequency framework. For a rare dominant allele, the tolerated frequency can be approximated as:</w:t>
      </w:r>
    </w:p>
    <w:p>
      <w:r>
        <w:t>AF_max = (disease prevalence x allelic contribution) / (penetrance x model factor),</w:t>
      </w:r>
    </w:p>
    <w:p>
      <w:r>
        <w:t>where allelic contribution is the fraction of disease attributable to the allele and the model factor is 2 for a heterozygous diploid dominant model. This is distinct from gnomAD allele count (AC). Equivalently, an observed allele frequency is credible only if 2 x AF x penetrance does not exceed the disease prevalence attributable to that allele.</w:t>
      </w:r>
    </w:p>
    <w:p>
      <w:r>
        <w:t>Under a strict high-penetrance dominant scenario (prevalence 1/2,000; allelic contribution 10%; penetrance 50%), the maximum credible AF is 5.0e-5. SCN5A VCV000440850 exceeds this ceiling by 113.5-fold, TRDN VCV001325231 by 4.4-fold if misread as dominant, and KCNH2 VCV004535537 by 2.6-fold. Under an SCN5A-specific Brugada-like Mendelian read with penetrance relaxed to 20%, SCN5A still exceeds the ceiling by 45.4-fold. Even under a generous dominant scenario (prevalence 1/1,000; allelic contribution 20%; penetrance 10%), SCN5A remains 5.7-fold above the model ceiling, requiring penetrance below 1.8% to reconcile the observed AFR popmax AF with a dominant disease model.</w:t>
      </w:r>
    </w:p>
    <w:p>
      <w:r>
        <w:t>These calculations separate the three red cases quantitatively. SCN5A is incompatible with a high-penetrance Mendelian read across plausible assumptions. KCNH2 exceeds a high-penetrance LQTS-like ceiling but falls below a generous low-penetrance ceiling, reinforcing its borderline status. TRDN is incompatible only under a dominant misread; under carrier logic, its popmax AF of 2.18e-4 implies an approximate heterozygote carrier frequency of 4.36e-4 and a homozygote frequency of 4.76e-8, which is qualitatively compatible with a recessive/biallelic architecture. Thus, maximum credible AF does not replace VITAL; it explains why the same P/LP label must be routed into different biological states.</w:t>
      </w:r>
    </w:p>
    <w:p>
      <w:r>
        <w:t>Bayesian ACMG-style odds make the same point without changing the classification. In an illustrative Tavtigian-style calculation with prior probability 0.10, a very-strong frequency conflict can neutralize even very-strong pathogenic evidence back to the prior, while a strong frequency conflict can still be offset by very-strong pathogenic evidence. This supports the intended interpretation: frequency conflict is not an automatic downgrade, but it is strong enough to force state-aware review when the public label is weak or underspecified.</w:t>
      </w:r>
    </w:p>
    <w:p>
      <w:r>
        <w:t>Allele-count reliability also remains graded rather than binary. The approximate Poisson relative standard error is 1/sqrt(AC): SCN5A has a relative SE of 6.8% (AC=214; approximate 95% relative margin 13.4%), TRDN 15.8% (AC=40; margin 31.0%), and KCNH2 20.4% (AC=24; margin 40.0%). This explains why AC&gt;=20 is a review floor, not an evidentiary cliff, and why KCNH2 should remain explicitly borderline.</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A trim/decomposition-aware reconciliation audit expanded strict exact/equivalent recovery only modestly, from 350 to 357 variants, while 1,326 assertions yielded only locus/regional context and 48 remained unrecoverable. This means the system has two separable gaps: hidden ancestry-aware frequency tension among evaluable variants, and representation-driven non-evaluability among the majority. Absence from gnomAD therefore cannot be treated uniformly as rarity, and the representation gap cannot be dismissed as a simple normalization bug.</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A narrow provenance sensitivity analysis reinforces that point without dissolving it. Removing the 3 weak/no-assertion or single-submitter records with max_frequency_signal &gt;1e-4 and qualifying_frequency_ac &gt;=20 reduced the reconciled exact/equivalent tier only from 357/1,731 to 354/1,728, left locus/regional context at 1,326/1,728, left the genuinely unevaluable set at 48/1,728, and preserved a large ancestry-aware/global contrast in the remaining AF-observed core (10 global-only versus 112 global-or-popmax alerts). What disappeared was the urgent exemplar set, which is exactly what that provenance filter was designed to remove.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maximum credible AF and prevalence-constraint outputs, Bayesian ACMG-style frequency-tension outputs, recessive carrier-logic outputs, allele-count reliability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