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Frequency Tension Is Common but Hidden in ClinVar Pathogenic Arrhythmia Variants: VITAL Prioritizes Re-Review</w:t>
      </w:r>
    </w:p>
    <w:p>
      <w:pPr>
        <w:pStyle w:val="Heading1"/>
      </w:pPr>
      <w:r>
        <w:t>Abstract</w:t>
      </w:r>
    </w:p>
    <w:p>
      <w:r>
        <w:rPr>
          <w:b/>
        </w:rPr>
        <w:t>Purpose:</w:t>
      </w:r>
      <w:r>
        <w:t xml:space="preserve"> One in three ClinVar P/LP arrhythmia variants with complete population data are rare globally but enriched in at least one ancestry, creating a contradiction that is invisible to global-AF-only workflows. We evaluated this hidden frequency tension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Expert-specified weights were compared with semi-empirical calibration in the frequency-positive historical universe using review-only, tension-only, and combined logistic models.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burden audit, naive AF screening flagged 332 variants (11.1%; 95% CI 10.0%-12.2%), whereas the red-priority queue contained 3 (0.10%; 95% CI 0.034%-0.294%). Within frequency-positive historical records, a combined review-plus-tension calibration model outperformed review-only calibration (PR AUC 0.622 vs 0.555), and standardized tension coefficients exceeded review coefficients by 1.60-fold. Historical audits confirmed the operating profile: high specificity, low recall, and usefulness for review-burden compression rather than broad prediction.</w:t>
      </w:r>
    </w:p>
    <w:p>
      <w:r>
        <w:rPr>
          <w:b/>
        </w:rPr>
        <w:t>Conclusion:</w:t>
      </w:r>
      <w:r>
        <w:t xml:space="preserve"> Frequency tension is common, but actionable review should be rare. VITAL turns hidden population-frequency contradictions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audit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minimal Docker environment is provided for package/runtime reproducibility of cached and demo analyses.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frequency-assertion tension score for clinical re-review prioritization.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and ClinVar time-series analysis</w:t>
      </w:r>
    </w:p>
    <w:p>
      <w:r>
        <w:t>To audit future ClinVar instability without presenting VITAL as a prediction model, we downloaded archived ClinVar variant_summary snapshots for January 2023, January 2024, January 2025, and April 2026.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auditing is underpowered and serves only as a directional consistency and specificity check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The intermediate snapshots were used to build VariationID-level clinical-significance trajectories rather than treating 2023 and 2026 as the only observable states. We explicitly flagged flippers, defined as P/LP variants that moved to VUS or another non-P/LP state in 2024/2025 and returned to P/LP by April 2026. These variants were retained as a separate trajectory-instability class and not counted as strict downgrades. Because variant_summary does not encode complete SCV version histories, this analysis is VCV/VariationID-level; same-submitter SCV versioning remains a stricter future validation layer.</w:t>
      </w:r>
    </w:p>
    <w:p>
      <w:r>
        <w:t>We also checked whether arrhythmia variants that were P/LP only in intermediate snapshots could create a hidden transient red-priority queue. Arrhythmia P/LP VariationIDs present in 2024/2025 but not present as P/LP in either January 2023 or April 2026 were extracted and scored separately with the same VITAL workflow.</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Score calibration and AC-gate audit</w:t>
      </w:r>
    </w:p>
    <w:p>
      <w:r>
        <w:t>To test whether expert-specified VITAL scores can be given an empirical workflow interpretation, we calibrated VITAL score against the 3,000-variant cross-disease historical set using the score as the only feature. We fit two monotonic post-hoc calibration layers: isotonic regression by pool-adjacent-violators algorithm and Platt-style logistic scaling. Both were evaluated by 5-fold out-of-fold prediction to avoid reporting in-sample calibration. Calibration was performed separately for strict downgrade, broad instability, and expanded instability endpoints. These calibrated probabilities should be read as probabilities of database instability endpoints, not pathogenicity, benignity, or patient-level actionability.</w:t>
      </w:r>
    </w:p>
    <w:p>
      <w:r>
        <w:t>Because unrestricted endpoint calibration conflated general ClinVar churn with frequency-assertion discordance, all weight-comparison analyses were restricted to the frequency-positive universe. Within variants with observed AF &gt;1e-5, we compared three non-negative logistic calibration models for the expanded instability endpoint: review-only features (review fragility, single-submitter status, weak review), frequency-tension features (AF pressure, AC reliability, popmax enrichment, variant-type tension, technical detectability, and gene constraint), and the combined review-plus-tension model. These models were evaluated by 5-fold out-of-fold prediction and bootstrapped confidence intervals. This was a semi-empirical calibration audit of feature dominance, not a replacement for the prespecified VITAL score.</w:t>
      </w:r>
    </w:p>
    <w:p>
      <w:r>
        <w:t>We also audited the AC actionability gate across thresholds of &gt;=1, &gt;=2, &gt;=5, &gt;=10, &gt;=20, &gt;=50, and &gt;=100 in the same historical 3,000-variant set. This audit was not used to refit VITAL. It quantified how many frequency-positive records and weak-review frequency-positive records remain at each AC gate, and how strict, broad, and expanded event rates change as the gate becomes more stringent.</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r>
        <w:t>The central message is therefore simple: frequency tension is not rare; it is systematically hidden by global-AF-only workflows and by the tendency to treat missing frequency evidence as absence.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7" name="Picture 7"/>
            <wp:cNvGraphicFramePr>
              <a:graphicFrameLocks noChangeAspect="1"/>
            </wp:cNvGraphicFramePr>
            <a:graphic>
              <a:graphicData uri="http://schemas.openxmlformats.org/drawingml/2006/picture">
                <pic:pic>
                  <pic:nvPicPr>
                    <pic:cNvPr id="0" name="vital_biological_contrast_cases.png"/>
                    <pic:cNvPicPr/>
                  </pic:nvPicPr>
                  <pic:blipFill>
                    <a:blip r:embed="rId15"/>
                    <a:stretch>
                      <a:fillRect/>
                    </a:stretch>
                  </pic:blipFill>
                  <pic:spPr>
                    <a:xfrm>
                      <a:off x="0" y="0"/>
                      <a:ext cx="6217920" cy="4239491"/>
                    </a:xfrm>
                    <a:prstGeom prst="rect"/>
                  </pic:spPr>
                </pic:pic>
              </a:graphicData>
            </a:graphic>
          </wp:inline>
        </w:drawing>
      </w:r>
    </w:p>
    <w:p>
      <w:pPr>
        <w:jc w:val="center"/>
      </w:pPr>
      <w:r>
        <w:rPr>
          <w:i/>
          <w:sz w:val="18"/>
        </w:rPr>
        <w:t>Figure 7.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8" name="Picture 8"/>
            <wp:cNvGraphicFramePr>
              <a:graphicFrameLocks noChangeAspect="1"/>
            </wp:cNvGraphicFramePr>
            <a:graphic>
              <a:graphicData uri="http://schemas.openxmlformats.org/drawingml/2006/picture">
                <pic:pic>
                  <pic:nvPicPr>
                    <pic:cNvPr id="0" name="arrhythmia_review_fragility.png"/>
                    <pic:cNvPicPr/>
                  </pic:nvPicPr>
                  <pic:blipFill>
                    <a:blip r:embed="rId16"/>
                    <a:stretch>
                      <a:fillRect/>
                    </a:stretch>
                  </pic:blipFill>
                  <pic:spPr>
                    <a:xfrm>
                      <a:off x="0" y="0"/>
                      <a:ext cx="6217920" cy="3497580"/>
                    </a:xfrm>
                    <a:prstGeom prst="rect"/>
                  </pic:spPr>
                </pic:pic>
              </a:graphicData>
            </a:graphic>
          </wp:inline>
        </w:drawing>
      </w:r>
    </w:p>
    <w:p>
      <w:pPr>
        <w:jc w:val="center"/>
      </w:pPr>
      <w:r>
        <w:rPr>
          <w:i/>
          <w:sz w:val="18"/>
        </w:rPr>
        <w:t>Figure 8.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9" name="Picture 9"/>
            <wp:cNvGraphicFramePr>
              <a:graphicFrameLocks noChangeAspect="1"/>
            </wp:cNvGraphicFramePr>
            <a:graphic>
              <a:graphicData uri="http://schemas.openxmlformats.org/drawingml/2006/picture">
                <pic:pic>
                  <pic:nvPicPr>
                    <pic:cNvPr id="0" name="vital_gray_zone_workflow.png"/>
                    <pic:cNvPicPr/>
                  </pic:nvPicPr>
                  <pic:blipFill>
                    <a:blip r:embed="rId17"/>
                    <a:stretch>
                      <a:fillRect/>
                    </a:stretch>
                  </pic:blipFill>
                  <pic:spPr>
                    <a:xfrm>
                      <a:off x="0" y="0"/>
                      <a:ext cx="6217920" cy="3826190"/>
                    </a:xfrm>
                    <a:prstGeom prst="rect"/>
                  </pic:spPr>
                </pic:pic>
              </a:graphicData>
            </a:graphic>
          </wp:inline>
        </w:drawing>
      </w:r>
    </w:p>
    <w:p>
      <w:pPr>
        <w:jc w:val="center"/>
      </w:pPr>
      <w:r>
        <w:rPr>
          <w:i/>
          <w:sz w:val="18"/>
        </w:rPr>
        <w:t>Figure 9.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0" name="Picture 10"/>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8"/>
                    <a:stretch>
                      <a:fillRect/>
                    </a:stretch>
                  </pic:blipFill>
                  <pic:spPr>
                    <a:xfrm>
                      <a:off x="0" y="0"/>
                      <a:ext cx="6217920" cy="7461504"/>
                    </a:xfrm>
                    <a:prstGeom prst="rect"/>
                  </pic:spPr>
                </pic:pic>
              </a:graphicData>
            </a:graphic>
          </wp:inline>
        </w:drawing>
      </w:r>
    </w:p>
    <w:p>
      <w:pPr>
        <w:jc w:val="center"/>
      </w:pPr>
      <w:r>
        <w:rPr>
          <w:i/>
          <w:sz w:val="18"/>
        </w:rPr>
        <w:t>Figure 10.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Temporal classification stability analysis</w:t>
      </w:r>
    </w:p>
    <w:p>
      <w:r>
        <w:t>The four-snapshot trajectory audit separated monotonic downgrades from transient classification instability. In the 3,000-variant cross-disease historical set, 25 variants met the strict P/LP to B/LB-or-VUS endpoint by April 2026, 125 met the broader non-P/LP/conflicting/other/missing endpoint, and 675 met the expanded endpoint that also counted review-status or aggregate-text changes. No variants followed a P/LP to VUS to P/LP trajectory. However, 9 variants followed a broader P/LP to non-P/LP to P/LP pattern, most commonly through transient conflicting status. None of the 13 cross-disease red-priority variants were flippers.</w:t>
      </w:r>
    </w:p>
    <w:p>
      <w:r>
        <w:t>The arrhythmia panel showed the same pattern. Among 1,669 January 2023 arrhythmia P/LP variants, 18 met the strict endpoint, 121 met the broad endpoint, and 347 met the expanded endpoint. Again, no P/LP to VUS to P/LP flippers were observed. Eight broader P/LP to non-P/LP to P/LP flippers were identified; one was TRDN VCV001325231, which followed P/LP -&gt; P/LP -&gt; other -&gt; P/LP. This makes TRDN a trajectory-instability case, but not a strict downgrade.</w:t>
      </w:r>
    </w:p>
    <w:p>
      <w:r>
        <w:t>The current red-priority arrhythmia cases had distinct trajectories. TRDN VCV001325231 was present throughout the series and returned to P/LP by April 2026 after a transient "no classifications from unflagged records"/other state in January 2025. KCNH2 VCV004535537 was absent from the 2023, 2024, and 2025 bulk variant_summary snapshots and appeared as P/LP by April 2026, consistent with a later red-gate entry rather than a baseline instability event. SCN5A VCV000440850 was present in the current VITAL/VCV-derived cache but was not found in the archived bulk variant_summary snapshots, including April 2026; it is therefore treated as representation/mapping instability in the bulk snapshot audit rather than as an interpretable four-point clinical-significance trajectory.</w:t>
      </w:r>
    </w:p>
    <w:p>
      <w:r>
        <w:t>We identified 33 arrhythmia variants that transiently entered the P/LP classification space in 2024-2025 but were not P/LP in the 2023 baseline and were no longer P/LP in the April 2026 snapshot. These non-persistent assertions represent a distinct instability class separate from strict reclassification trajectories. Retrospective VITAL scoring showed that none of these variants reached the red actionability threshold, and only one variant, KCNQ1 VCV000067060, reached the orange high-tension band. This indicates that transient P/LP assertions are not uniformly driven by population-frequency contradiction signals and therefore are not expected to be systematically prioritized by VITAL.</w:t>
      </w:r>
    </w:p>
    <w:p>
      <w:pPr>
        <w:pStyle w:val="Heading2"/>
      </w:pPr>
      <w:r>
        <w:t>Multi-domain historical audit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burden audit on 3,000 ClinVar P/LP variants</w:t>
      </w:r>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Post-hoc score calibration supports workflow interpretation, not downgrade prediction</w:t>
      </w:r>
    </w:p>
    <w:p>
      <w:r>
        <w:t>Post-hoc calibration gave the most useful interpretation when the endpoint was expanded database instability rather than strict clinical downgrade. Using 5-fold out-of-fold calibration on the 3,000-variant historical cross-disease set, Platt scaling modestly improved the expanded-endpoint Brier score (0.192 vs 0.195 for the uncalibrated base-rate model) and produced low calibration error (ECE=0.008). A VITAL score near the current red threshold mapped to an expanded-instability probability of approximately 50% by Platt scaling: 49.5% at score 70 and 51.1% at score 74. This is clinically interpretable as "substantial chance of database instability or review-status change," not as probability of benign reclassification.</w:t>
      </w:r>
    </w:p>
    <w:p>
      <w:r>
        <w:t>The same calibration was not useful for strict downgrades. For the strict P/LP-to-B/LB-or-VUS endpoint, Platt scaling did not improve over the base-rate model (Brier score 0.00761 vs 0.00761), and a VITAL score of 74 mapped to only 3.0% strict-downgrade probability. This is exactly the desired conclusion for framing: VITAL score can be used as a workflow-instability and burden-compression signal, but it should not be sold as a strict future-downgrade predictor.</w:t>
      </w:r>
    </w:p>
    <w:p>
      <w:pPr>
        <w:jc w:val="center"/>
      </w:pPr>
      <w:r>
        <w:drawing>
          <wp:inline xmlns:a="http://schemas.openxmlformats.org/drawingml/2006/main" xmlns:pic="http://schemas.openxmlformats.org/drawingml/2006/picture">
            <wp:extent cx="6217920" cy="2302933"/>
            <wp:docPr id="11" name="Picture 11"/>
            <wp:cNvGraphicFramePr>
              <a:graphicFrameLocks noChangeAspect="1"/>
            </wp:cNvGraphicFramePr>
            <a:graphic>
              <a:graphicData uri="http://schemas.openxmlformats.org/drawingml/2006/picture">
                <pic:pic>
                  <pic:nvPicPr>
                    <pic:cNvPr id="0" name="vital_cross_disease_3000_score_calibration.png"/>
                    <pic:cNvPicPr/>
                  </pic:nvPicPr>
                  <pic:blipFill>
                    <a:blip r:embed="rId19"/>
                    <a:stretch>
                      <a:fillRect/>
                    </a:stretch>
                  </pic:blipFill>
                  <pic:spPr>
                    <a:xfrm>
                      <a:off x="0" y="0"/>
                      <a:ext cx="6217920" cy="2302933"/>
                    </a:xfrm>
                    <a:prstGeom prst="rect"/>
                  </pic:spPr>
                </pic:pic>
              </a:graphicData>
            </a:graphic>
          </wp:inline>
        </w:drawing>
      </w:r>
    </w:p>
    <w:p>
      <w:pPr>
        <w:jc w:val="center"/>
      </w:pPr>
      <w:r>
        <w:rPr>
          <w:i/>
          <w:sz w:val="18"/>
        </w:rPr>
        <w:t>Figure 11. VITAL score calibration on historical cross-disease data.</w:t>
      </w:r>
    </w:p>
    <w:p/>
    <w:p>
      <w:pPr>
        <w:pStyle w:val="Heading2"/>
      </w:pPr>
      <w:r>
        <w:t>Restricted semi-empirical weight calibration</w:t>
      </w:r>
    </w:p>
    <w:p>
      <w:r>
        <w:t>The expanded endpoint can capture general ClinVar maintenance events, so unrestricted calibration would partly learn review-status churn rather than the biological question VITAL is designed to prioritize. We therefore performed weight-comparison analyses only within the frequency-positive universe: 379 historical cross-disease variants with observed AF &gt;1e-5, of which 156 (41.2%) met the expanded instability endpoint.</w:t>
      </w:r>
    </w:p>
    <w:p>
      <w:r>
        <w:t>Three feature-group models clarified the signal. A review-only model achieved ROC AUC 0.706 (95% bootstrap CI 0.652-0.761), PR AUC 0.555 (95% CI 0.482-0.645), and Brier score 0.201. A tension-only model using AF pressure, AC reliability, popmax enrichment, variant-type tension, technical detectability, and gene constraint was weaker alone (ROC AUC 0.517; PR AUC 0.419), showing that population-frequency evidence without review context is not sufficient for this workflow endpoint. The combined review-plus-tension model performed best: ROC AUC 0.744 (95% CI 0.693-0.795), PR AUC 0.622 (95% CI 0.537-0.712), and Brier score 0.199.</w:t>
      </w:r>
    </w:p>
    <w:p>
      <w:r>
        <w:t>Feature dominance also supported the intended design. In the combined model, standardized frequency-tension coefficients summed to 1.75 compared with 1.10 for review features (tension:review ratio 1.60). The strongest tension contributions were technical detectability, variant-type tension, gene constraint, and AC reliability, rather than raw AF magnitude alone. Thus, after restricting calibration to the correct frequency-positive question, the empirical audit did not reduce VITAL to a review-metadata detector; it supported the framework's central premise that review fragility and frequency-assertion tension are complementary signals.</w:t>
      </w:r>
    </w:p>
    <w:p>
      <w:pPr>
        <w:jc w:val="center"/>
      </w:pPr>
      <w:r>
        <w:drawing>
          <wp:inline xmlns:a="http://schemas.openxmlformats.org/drawingml/2006/main" xmlns:pic="http://schemas.openxmlformats.org/drawingml/2006/picture">
            <wp:extent cx="6217920" cy="1925549"/>
            <wp:docPr id="12" name="Picture 12"/>
            <wp:cNvGraphicFramePr>
              <a:graphicFrameLocks noChangeAspect="1"/>
            </wp:cNvGraphicFramePr>
            <a:graphic>
              <a:graphicData uri="http://schemas.openxmlformats.org/drawingml/2006/picture">
                <pic:pic>
                  <pic:nvPicPr>
                    <pic:cNvPr id="0" name="vital_cross_disease_3000_restricted_calibration_models.png"/>
                    <pic:cNvPicPr/>
                  </pic:nvPicPr>
                  <pic:blipFill>
                    <a:blip r:embed="rId20"/>
                    <a:stretch>
                      <a:fillRect/>
                    </a:stretch>
                  </pic:blipFill>
                  <pic:spPr>
                    <a:xfrm>
                      <a:off x="0" y="0"/>
                      <a:ext cx="6217920" cy="1925549"/>
                    </a:xfrm>
                    <a:prstGeom prst="rect"/>
                  </pic:spPr>
                </pic:pic>
              </a:graphicData>
            </a:graphic>
          </wp:inline>
        </w:drawing>
      </w:r>
    </w:p>
    <w:p>
      <w:pPr>
        <w:jc w:val="center"/>
      </w:pPr>
      <w:r>
        <w:rPr>
          <w:i/>
          <w:sz w:val="18"/>
        </w:rPr>
        <w:t>Figure 12. Restricted semi-empirical calibration models.</w:t>
      </w:r>
    </w:p>
    <w:p/>
    <w:p>
      <w:r>
        <w:t>The AC-gate audit supported AC&gt;=20 as an operational robustness threshold rather than an empirically optimized cutoff. In the 3,000-variant historical set, AC&gt;=10 retained 112 AC-supported frequency flags and 44 weak-review frequency flags; AC&gt;=20 reduced these to 87 and 29, respectively, while expanded event rate remained similar (41.1% vs 40.2%). AC&gt;=50 further reduced the queue to 37 frequency flags and 12 weak-review flags but became more aggressive than needed for the intended review-capacity gate. Thus, AC&gt;=20 is best described as a conservative actionability gate that reduces low-count review burden without being learned into the VITAL score.</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3" name="Picture 13"/>
            <wp:cNvGraphicFramePr>
              <a:graphicFrameLocks noChangeAspect="1"/>
            </wp:cNvGraphicFramePr>
            <a:graphic>
              <a:graphicData uri="http://schemas.openxmlformats.org/drawingml/2006/picture">
                <pic:pic>
                  <pic:nvPicPr>
                    <pic:cNvPr id="0" name="vital_external_panel_score_distribution.png"/>
                    <pic:cNvPicPr/>
                  </pic:nvPicPr>
                  <pic:blipFill>
                    <a:blip r:embed="rId21"/>
                    <a:stretch>
                      <a:fillRect/>
                    </a:stretch>
                  </pic:blipFill>
                  <pic:spPr>
                    <a:xfrm>
                      <a:off x="0" y="0"/>
                      <a:ext cx="6217920" cy="3165487"/>
                    </a:xfrm>
                    <a:prstGeom prst="rect"/>
                  </pic:spPr>
                </pic:pic>
              </a:graphicData>
            </a:graphic>
          </wp:inline>
        </w:drawing>
      </w:r>
    </w:p>
    <w:p>
      <w:pPr>
        <w:jc w:val="center"/>
      </w:pPr>
      <w:r>
        <w:rPr>
          <w:i/>
          <w:sz w:val="18"/>
        </w:rPr>
        <w:t>Figure 13.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The result is narrower but clinically useful: random ClinVar and hearing-loss samples had large naive AF queues (94/500 and 76/300), but no red-priority calls; the BRCA/MMR/APC descriptive comparator also had no red-priority or score &gt;=60 calls. VITAL therefore compresses review burden without manufacturing large urgent queues outside the development context, while leaving sensitivity claims to future independently adjudicated datasets.</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4" name="Picture 14"/>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2"/>
                    <a:stretch>
                      <a:fillRect/>
                    </a:stretch>
                  </pic:blipFill>
                  <pic:spPr>
                    <a:xfrm>
                      <a:off x="0" y="0"/>
                      <a:ext cx="6217920" cy="4304714"/>
                    </a:xfrm>
                    <a:prstGeom prst="rect"/>
                  </pic:spPr>
                </pic:pic>
              </a:graphicData>
            </a:graphic>
          </wp:inline>
        </w:drawing>
      </w:r>
    </w:p>
    <w:p>
      <w:pPr>
        <w:jc w:val="center"/>
      </w:pPr>
      <w:r>
        <w:rPr>
          <w:i/>
          <w:sz w:val="18"/>
        </w:rPr>
        <w:t>Figure 14. KCNH2 non-overlap diagnostic analysis.</w:t>
      </w:r>
    </w:p>
    <w:p/>
    <w:p>
      <w:pPr>
        <w:jc w:val="center"/>
      </w:pPr>
      <w:r>
        <w:drawing>
          <wp:inline xmlns:a="http://schemas.openxmlformats.org/drawingml/2006/main" xmlns:pic="http://schemas.openxmlformats.org/drawingml/2006/picture">
            <wp:extent cx="6217920" cy="3497580"/>
            <wp:docPr id="15" name="Picture 15"/>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3"/>
                    <a:stretch>
                      <a:fillRect/>
                    </a:stretch>
                  </pic:blipFill>
                  <pic:spPr>
                    <a:xfrm>
                      <a:off x="0" y="0"/>
                      <a:ext cx="6217920" cy="3497580"/>
                    </a:xfrm>
                    <a:prstGeom prst="rect"/>
                  </pic:spPr>
                </pic:pic>
              </a:graphicData>
            </a:graphic>
          </wp:inline>
        </w:drawing>
      </w:r>
    </w:p>
    <w:p>
      <w:pPr>
        <w:jc w:val="center"/>
      </w:pPr>
      <w:r>
        <w:rPr>
          <w:i/>
          <w:sz w:val="18"/>
        </w:rPr>
        <w:t>Figure 15.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finding is that frequency tension is common but hidden. Global AF detected only 13 arrhythmia variants above 1e-5, whereas popmax/global screening detected 115, and nearly one-third of variants with complete popmax data were globally rare but population-enriched.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w:t>
      </w:r>
    </w:p>
    <w:p>
      <w:r>
        <w:t>Historical and external audits support the same operating profile. Red-priority is intentionally sparse, high-specificity, and low-recall. That is a feature of a review-prioritization framework for frequency-assertion tension, not a flaw of a prediction model, because the goal is to reduce false-positive review burden rather than identify every future ClinVar label change. Post-hoc calibration sharpened this distinction: a score near 70 maps to approximately 50% expanded-instability probability but only about 3% strict-downgrade probability in the historical 3,000-variant set. Weight and AC sensitivity further show that the red-priority queue is small and largely stable, while KCNH2 remains threshold-adjacent and should be communicated as a review signal rather than a stable automated call.</w:t>
      </w:r>
    </w:p>
    <w:p>
      <w:r>
        <w:t>The time-series audit is consistent with the intended scope of the framework. VITAL is not designed as a general instability detector for ClinVar assertions, but as a targeted prioritization tool for variants under population-frequency, review, and context discordance. The absence of VITAL-red signals among transient P/LP assertions therefore reflects specificity rather than failure, indicating that many transient classifications arise from mechanisms outside the frequency-function tension space. From a clinical workflow perspective, this selectivity is desirable: a prioritization system that flags all transient assertions would recreate the same review burden that it is intended to reduce.</w:t>
      </w:r>
    </w:p>
    <w:p>
      <w:r>
        <w:t>The next validation layer should use orthogonal sources of truth rather than waiting for rare strict downgrades to accumulate. The highest-yield design is to assemble curated sets from ClinGen/expert-panel downgrade rationales, LOVD or ClinGen Variant Curation Interface records with documented evidence changes, and functional assays or MAVE datasets for cardiac genes where available. These sources would test whether high VITAL scores coincide with the mechanism of reclassification or with frequency-function discordance, rather than merely with aggregate ClinVar label drift. Multi-year ClinVar time series from 2019-2026 could also be analyzed as survival data, asking whether high-tension variants lose stable P/LP status earlier than low-tension variants. These analyses are future work; they are not required for the current burden-reduction claim.</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primary score is expert-specified rather than learned. Weight-profile, one-weight-at-a-time, and restricted semi-empirical calibration analyses showed that the queue is not driven by arbitrary single-weight choices, but they do not make VITAL a trained classifier. KCNH2 remained unstable in 3/5 alternative profiles, and the semi-empirical models were calibrated to an expanded database-instability endpoint rather than independent clinical truth. Future disease-specific deployments should therefore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audits are underpowered by design.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LOF subtype annotation was derived from ClinVar/HGVS strings and does not replace transcript-aware consequence annotation, NMD prediction, exon/domain context, or curated functional assays.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Minimal Dockerfile provided for cached/demo analyses; full raw-data acquisition still depends on external services and bulky inputs</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frequency-assertion tension score, identifies 3 red-priority arrhythmia assertions as of the April 21, 2026 data freeze, suppresses more than 100 naive AF alerts, and preserves explicit no-frequency-evidence states for variants that should not be treated as AF=0. Independent current cross-disease burden audit across 3,000 non-arrhythmia ClinVar P/LP variants shows the same workflow profile: 332 naive AF alerts compress to 3 red-priority calls. Historical cross-disease audits remain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ClinVar bulk variant_summary snapshots, including archived January 2023, January 2024, January 2025, and April 2026 files for the time-series audit.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minimal Docker/containerized environment is provided for cached/demo analyses so that package installation and the Python runtime can be reproduced in addition to the data freeze.</w:t>
      </w:r>
    </w:p>
    <w:p>
      <w:r>
        <w:t>Key output groups include per-variant VITAL scores and component explanations, method-comparison tables, threshold and AC sensitivity sweeps, weight-sensitivity tables, semi-empirical calibration outputs, historical validation outputs, external-panel stress tests, 3,000-variant cross-disease validation outputs, ClinVar time-series trajectory outputs, and generated figures. The most central files are arrhythmia_vital_scores.csv, arrhythmia_vital_component_breakdown.csv, arrhythmia_vital_method_comparison.csv, arrhythmia_vital_pathogenicity_tension_continuum.csv, arrhythmia_vital_one_weight_sensitivity.csv, vital_cross_disease_3000_restricted_calibration_model_metrics.csv, vital_cross_disease_3000_restricted_calibration_feature_dominance.csv, vital_red_manual_review_live_check.csv, vital_cross_disease_3000_cross_disease_validation_summary.csv, vital_cross_disease_3000_2023_01_to_current_vital_historical_enrichment.csv, vital_cross_disease_3000_clinvar_time_series_wide.csv, arrhythmia_current_red_clinvar_time_series_red_queue.csv, and arrhythmia_intermediate_only_2024_2025_vital_scores.csv.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It is generated by src/run_vital_biological_contrast.py from gnomAD v4.1 constraint metrics and Human Protein Atlas v23 tissue-consensus expression downloads;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pPr>
        <w:pStyle w:val="ListBullet"/>
      </w:pPr>
      <w:r>
        <w:t>Supplementary Table S17: post-hoc VITAL score calibration mapping for strict, broad, and expanded historical endpoints.</w:t>
      </w:r>
    </w:p>
    <w:p>
      <w:pPr>
        <w:pStyle w:val="ListBullet"/>
      </w:pPr>
      <w:r>
        <w:t>Supplementary Table S18: ClinVar four-snapshot time-series trajectories.</w:t>
      </w:r>
    </w:p>
    <w:p>
      <w:pPr>
        <w:pStyle w:val="ListBullet"/>
      </w:pPr>
      <w:r>
        <w:t>Supplementary Table S19: ClinVar four-snapshot red-priority trajectories.</w:t>
      </w:r>
    </w:p>
    <w:p>
      <w:pPr>
        <w:pStyle w:val="ListBullet"/>
      </w:pPr>
      <w:r>
        <w:t>Supplementary Table S20: ClinVar four-snapshot flipper and transient-instability trajectories.</w:t>
      </w:r>
    </w:p>
    <w:p>
      <w:pPr>
        <w:pStyle w:val="ListBullet"/>
      </w:pPr>
      <w:r>
        <w:t>Supplementary Table S21: restricted semi-empirical VITAL weight calibration, including review-only, tension-only, and combined logistic models.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