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Shield ClinVar P/LP Arrhythmia Variants from Frequency Tension: VITAL Prioritizes Re-Review</w:t>
      </w:r>
    </w:p>
    <w:p>
      <w:pPr>
        <w:pStyle w:val="Heading1"/>
      </w:pPr>
      <w:r>
        <w:t>Abstract</w:t>
      </w:r>
    </w:p>
    <w:p>
      <w:r>
        <w:rPr>
          <w:b/>
        </w:rPr>
        <w:t>Purpose:</w:t>
      </w:r>
      <w:r>
        <w:t xml:space="preserve"> One in three ClinVar P/LP arrhythmia variants with complete population data are rare globally but enriched in at least one ancestry, creating a contradiction that is invisible to global-AF-only workflows. We evaluated this hidden frequency tension and developed VITAL (Variant Interpretation Tension and Allele Load), an explainable review-prioritization framework for clinical laboratories with bioinformatics support.</w:t>
      </w:r>
    </w:p>
    <w:p>
      <w:r>
        <w:rPr>
          <w:b/>
        </w:rPr>
        <w:t>Methods:</w:t>
      </w:r>
      <w:r>
        <w:t xml:space="preserve"> We collapsed ClinVar P/LP records across 20 arrhythmia genes to 1,731 unique variants and cross-referenced them with gnomAD v4.1.1 exome and ancestry-specific data. VITAL explicitly models exact allele matches, allele discordance, no-record states, global AF, popmax AF, AC, variant type, technical detectability, gene context, and review fragility. It was evaluated as a human-review workflow, not as an automated classifier. Component weights were prespecified to preserve interpretability and stable behavior under sparse-event conditions; a restricted frequency-positive calibration audit checked design consistency but did not refit the score. Red-priority cases were further examined with real gnomAD v4.1 LOEUF values, Human Protein Atlas v23 heart-muscle expression, and mechanism-specific case interpretation.</w:t>
      </w:r>
    </w:p>
    <w:p>
      <w:r>
        <w:rPr>
          <w:b/>
        </w:rPr>
        <w:t>Results:</w:t>
      </w:r>
      <w:r>
        <w:t xml:space="preserve"> Only 350/1,731 variants (20.2%) had exact gnomAD allele matches; 334 had usable AF data. Global AF alone detected 13 variants above 1e-5, whereas popmax/global screening detected 115, including 102 globally rare but population-enriched variants. Indels were enriched in the non-overlap set (47.2% vs 28.9%; OR=2.20; BH q=1.08e-9), showing that absence from gnomAD is not equivalent to rarity for structurally complex variants. The strongest biological pattern was severe-annotation frequency discordance: 92/262 AF-observed LOF/splice assertions (35.1%) had popmax/global AF &gt;1e-5, similar to missense assertions (19/66, 28.8%), and the signal persisted after excluding the recessive/biallelic arrhythmia genes CASQ2 and TRDN (57/197, 28.9%). A naive popmax/global AF &gt;1e-5 screen flagged 115 variants; AC-supported screening flagged 9; the red-priority queue contained 3, a 97.4% reduction in actionable calls. These cases were biologically distinct: SCN5A as a high-frequency haplotype/drug-response susceptibility assertion, TRDN as a high-expression but LOEUF-tolerant recessive-carrier signal, and KCNH2 as a borderline splice assertion in a constrained dominant LQTS gene. In an independent 3,000-variant cross-disease burden audit, naive AF screening flagged 332 variants (11.1%; 95% CI 10.0%-12.2%), whereas the red-priority queue contained 3 (0.10%; 95% CI 0.034%-0.294%). Among 204 expert-panel reviewed P/LP assertions in that external set, 39 (19.1%) had naive AF tension but none were red-priority, supporting the intended specificity of the red gate for curated high-frequency exceptions. Historical audits confirmed the operating profile: high specificity, low recall, and usefulness for review-burden compression rather than broad prediction.</w:t>
      </w:r>
    </w:p>
    <w:p>
      <w:r>
        <w:rPr>
          <w:b/>
        </w:rPr>
        <w:t>Conclusion:</w:t>
      </w:r>
      <w:r>
        <w:t xml:space="preserve"> Severe annotation alone is not sufficient to override population-frequency contradiction. VITAL turns hidden frequency-assertion tension into a short, explainable laboratory review queue while preserving gray no-frequency-evidence states and leaving final classification to expert clinical interpretation.</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Although population frequency can provide benign evidence within the ACMG/AMP framework, frequency observations do not by themselves resolve disease mechanism, penetrance, allelic phase, technical representation, or the evidentiary strength of the underlying clinical assertion. Recent ClinGen recommendations have further clarified that rarity and functional evidence should be applied in a disease-aware and evidence-calibrated manner rather than as isolated rules.</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Accordingly, the practical problem is not simply whether a variant appears too frequent for a classical high-penetrance interpretation, but how laboratories should prioritize review when population data, disease mechanism, and archived ClinVar assertions are in visible tension. We therefore developed VITAL as an explainable review-prioritization layer intended to support expert triage rather than to automate reclassification. The intended users are clinical laboratories, expert panels, and research groups with bioinformatics support and responsibility for batch reinterpretation or database auditing; VITAL is not designed as a one-off decision tool for an individual clinician interpreting a single patient.</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targeted external disease panels, and an independent 3,000-variant cross-disease ClinVar P/LP portability sample.</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audit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minimal Docker environment is provided for package/runtime reproducibility of cached and demo analyses.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frequency-assertion tension score for clinical re-review prioritization. It is not intended to declare variants benign, and it is not a replacement for clinical interpretation. It prioritizes ClinVar P/LP assertions that are under enough population-frequency, allele-count, technical, gene-context, and review-quality pressure to warrant expert re-review. VITAL was designed as an explainable review-prioritization layer rather than an automated reclassification engine.</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by design rather than empirically fitted. This choice preserves interpretability, avoids unstable optimization under sparse-event conditions, and matches the intended task: workflow prioritization rather than prediction. The maxima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red-priority label was not defined by the score alone. A red-priority call required VITAL &gt;=70, weak review support, and AC-supported frequency evidence at the operational AC gate. The default red threshold of 70 is an operational review-capacity gate, not a pathogenicity cutoff: it creates a short, auditable review queue for expert reassessment, not an autonomous clinical decision boundary. An optional threshold of 80 can be interpreted as an ultra-high-priority subqueue. Variants without exact usable frequency evidence were not scored as zero-frequency variants; they were assigned the gray no-frequency-evidence band.</w:t>
      </w:r>
    </w:p>
    <w:p>
      <w:r>
        <w:t>The final score is reported with component-level breakdowns for explainability. We use one nomenclature throughout: red-priority for urgent expert re-review, orange high-tension for scheduled batch review, yellow watchlist for monitoring, gray no-frequency evidence for representation-aware uncertainty, and green/blue for routine low-tension states. Red-priority is a review-priority label, not a clinical benign classification.</w:t>
      </w:r>
    </w:p>
    <w:p>
      <w:r>
        <w:t>Conceptually, VITAL defines a variant pathogenicity tension continuum rather than a binary filter. Each variant is positioned in a discordance space spanning population frequency, AC reliability, ancestry enrichment, review fragility, gene context, variant representation, and predicted functional severity. In the scoring model, functional context is represented by HGVS-derived class and an internal gene-frequency constraint proxy; external LOEUF, heart-expression, and mechanism annotations are added later as the biological contrast layer for red cases, not as hidden scoring features.</w:t>
      </w:r>
    </w:p>
    <w:p>
      <w:r>
        <w:t>Inheritance is not modeled as an automatic score modifier in the current implementation. VITAL operates on ClinVar assertions and population-frequency tension, then requires clinical review to interpret the signal under dominant, recessive, semidominant, low-penetrance, or carrier-state mechanisms. VITAL does not explicitly model inheritance mode, zygosity, penetrance, or disease-specific allelic architecture, and therefore frequency tension must be interpreted in the context of dominant, recessive, hypomorphic, founder-enriched, or pharmacogenomic mechanisms before any classification change is considered. This matters because a frequency that is implausible for a fully penetrant dominant heterozygous disorder may be compatible with a recessive disease allele in carriers.</w:t>
      </w:r>
    </w:p>
    <w:p>
      <w:r>
        <w:t>For practical deployment, VITAL output should therefore be paired with an inheritance-aware routing label rather than interpreted as an inheritance-blind action trigger. A minimal routing scheme would send dominant/high-penetrance red or orange calls to frequency-inconsistent assertion review; recessive or biallelic-gene calls to carrier-frequency, zygosity, and affected-state review; founder, low-penetrance, hypomorphic, or pharmacogenomic calls to context-specific assertion review; and unknown-mechanism calls to a disease-mechanism clarification queue before any classification change is considered. These routing labels are not currently computed automatically and should be supplied from disease-gene curation, ClinGen specifications where available, or laboratory policy. This is a deliberate boundary of the current tool: VITAL marks where population evidence and clinical assertion are in tension, while inheritance-aware interpretation remains an expert review step.</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red-priority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laboratory decision tree.</w:t>
      </w:r>
    </w:p>
    <w:p/>
    <w:p>
      <w:r>
        <w:t>The AC threshold is applied as an actionability filter, not as part of the scoring function. This separates signal detection from operational decision thresholds. Sensitivity analyses repeated current and historical scoring with AC gates of &gt;=5, &gt;=10, &gt;=20, and &gt;=50; five alternative weight profiles; score cutoffs from 40 to 95; and release-to-release red-set composition checks between the January 2023 and April 2026 freezes. These analyses recorded red-set size, retained/gained/lost variants, proxy false-positive burden, and threshold stability without outcome refitting.</w:t>
      </w:r>
    </w:p>
    <w:p>
      <w:pPr>
        <w:pStyle w:val="Heading2"/>
      </w:pPr>
      <w:r>
        <w:t>Workflow-concordance benchmark and threshold sweep</w:t>
      </w:r>
    </w:p>
    <w:p>
      <w:r>
        <w:t>Because prospective truth labels are unavailable for current ClinVar assertions, we defined a workflow-concordance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the red-priority gate. Its purpose is narrower: to compare how much review burden different frequency screens would generate in the same operational universe. Conventional TP/FP/FN/TN and ROC/PR outputs are retained in supplementary files for comparability, but in the main text we refer to them as workflow-concordance metrics rather than diagnostic accuracy estimates. A threshold sweep evaluated score cutoffs from 40 to 95.</w:t>
      </w:r>
    </w:p>
    <w:p>
      <w:pPr>
        <w:pStyle w:val="Heading2"/>
      </w:pPr>
      <w:r>
        <w:t>Historical reclassification enrichment and ClinVar time-series analysis</w:t>
      </w:r>
    </w:p>
    <w:p>
      <w:r>
        <w:t>To audit future ClinVar instability without presenting VITAL as a prediction model, we downloaded archived ClinVar variant_summary snapshots for January 2023, January 2024, January 2025, and April 2026.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auditing is underpowered and serves only as a directional consistency and specificity check rather than a definitive predictive evaluation. Low strict-endpoint recall was expected under this design and would argue against prediction framing, not against the intended use case of creating a compact review queue.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The expanded endpoint was intentionally soft. It can count database-maintenance events, such as review-status or aggregate-text changes, even when the clinical-significance category remains P/LP. We therefore use it only as a ClinVar-instability audit endpoint, not as evidence of clinically meaningful reclassification.</w:t>
      </w:r>
    </w:p>
    <w:p>
      <w:r>
        <w:t>The intermediate snapshots were used to build VariationID-level clinical-significance trajectories rather than treating 2023 and 2026 as the only observable states. We explicitly flagged flippers, defined as P/LP variants that moved to VUS or another non-P/LP state in 2024/2025 and returned to P/LP by April 2026. These variants were retained as a separate trajectory-instability class and not counted as strict downgrades. Because variant_summary does not encode complete SCV version histories, this analysis is VCV/VariationID-level; same-submitter SCV versioning remains a stricter future validation layer.</w:t>
      </w:r>
    </w:p>
    <w:p>
      <w:r>
        <w:t>We also checked whether arrhythmia variants that were P/LP only in intermediate snapshots could create a hidden transient red-priority queue. Arrhythmia P/LP VariationIDs present in 2024/2025 but not present as P/LP in either January 2023 or April 2026 were extracted and scored separately with the same VITAL workflow.</w:t>
      </w:r>
    </w:p>
    <w:p>
      <w:r>
        <w:t>We reported threshold sweeps, workflow-concordance metrics, and event enrichment among red-priority variants, but interpreted historical results qualitatively because the red set is intentionally small. One-event perturbation, exploratory threshold calibration, deduplication logs, and stratified bootstrap were retained as audit checks rather than as formal predictive validation. Multi-domain results were reported within domain and after pooled deduplication to avoid hiding heterogeneity across arrhythmia, cardiomyopathy, epilepsy, hearing loss, and random ClinVar records.</w:t>
      </w:r>
    </w:p>
    <w:p>
      <w:pPr>
        <w:pStyle w:val="Heading2"/>
      </w:pPr>
      <w:r>
        <w:t>Score interpretation, weight-consistency audit, and AC-gate audit</w:t>
      </w:r>
    </w:p>
    <w:p>
      <w:r>
        <w:t>To test whether expert-specified VITAL scores can be given an empirical workflow interpretation, we calibrated VITAL score against the 3,000-variant cross-disease historical set using the score as the only feature. We fit two monotonic post-hoc calibration layers: isotonic regression by pool-adjacent-violators algorithm and Platt-style logistic scaling. Both were evaluated by 5-fold out-of-fold prediction to avoid reporting in-sample calibration. Calibration was performed separately for strict downgrade, broad instability, and expanded instability endpoints. These calibrated probabilities should be read as probabilities of database instability endpoints, not pathogenicity, benignity, or patient-level actionability.</w:t>
      </w:r>
    </w:p>
    <w:p>
      <w:r>
        <w:t>Because unrestricted endpoint calibration conflated general ClinVar churn with frequency-assertion discordance, all weight-consistency analyses were restricted to the frequency-positive universe. Within variants with observed AF &gt;1e-5, we used three non-negative logistic probes for the expanded instability endpoint: review-only features (review fragility, single-submitter status, weak review), frequency-tension features (AF pressure, AC reliability, popmax enrichment, variant-type tension, technical detectability, and gene constraint), and the combined review-plus-tension feature set. These probes were evaluated by 5-fold out-of-fold prediction and bootstrapped confidence intervals, but they were not used to optimize, select, or replace VITAL weights. The purpose was to test whether the prespecified design structure was consistent with observed frequency-positive instability signals.</w:t>
      </w:r>
    </w:p>
    <w:p>
      <w:r>
        <w:t>We also audited the AC actionability gate across thresholds of &gt;=1, &gt;=2, &gt;=5, &gt;=10, &gt;=20, &gt;=50, and &gt;=100 in the same historical 3,000-variant set. This audit was not used to refit VITAL. It quantified how many frequency-positive records and weak-review frequency-positive records remain at each AC gate, and how strict, broad, and expanded event rates change as the gate becomes more stringent.</w:t>
      </w:r>
    </w:p>
    <w:p>
      <w:pPr>
        <w:pStyle w:val="Heading2"/>
      </w:pPr>
      <w:r>
        <w:t>External-domain stress tests and descriptive comparator</w:t>
      </w:r>
    </w:p>
    <w:p>
      <w:r>
        <w:t>To evaluate portability, we ran small external stress tests on cardiomyopathy, epilepsy, hearing-loss, and random ClinVar P/LP samples, plus a BRCA/MMR/APC descriptive comparator. These were false-positive-burden stress tests, not sensitivity analyses, because independent truth labels were unavailable. We also ran an independent 3,000-variant cross-disease validation outside arrhythmia and previous external-panel genes: 2,000 variants from the top 100 genes by ClinVar P/LP count and 1,000 from the remaining eligible pool. The same sampling design was repeated for the January 2023 snapshot and compared with the April 21, 2026 freeze.</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Biological contrast analysis for red-priority cases</w:t>
      </w:r>
    </w:p>
    <w:p>
      <w:r>
        <w:t>To avoid treating the biological context as decorative metadata, we constructed a focused contrast table for the red-priority queue. The goal was not to add a new black-box score, but to ask what each frequency-positive assertion is biologically claiming. We joined red-priority variants to gnomAD v4.1 constraint metrics, using the MANE/canonical transcript LOEUF (lof.oe_ci.upper) as the real external loss-of-function constraint metric rather than the internal VITAL gene-frequency proxy. We also joined Human Protein Atlas v23 tissue consensus RNA expression for heart muscle (nTPM) as a gene-level cardiac expression context. These external annotations were not used to compute VITAL scores or red-priority labels; they were used only to interpret the biological meaning of already-prioritized cases. Domain/transcript context was summarized as a case-level caveat rather than as fully automated protein-domain mapping, because the red-priority variants include a composite haplotype (SCN5A), a frameshift in a recessive/biallelic disease model (TRDN), and a splice-site variant where allele-specific/same-site ambiguity matters (KCNH2).</w:t>
      </w:r>
    </w:p>
    <w:p>
      <w:pPr>
        <w:pStyle w:val="Heading2"/>
      </w:pPr>
      <w:r>
        <w:t>Severe-annotation discordance and expert-panel comparator</w:t>
      </w:r>
    </w:p>
    <w:p>
      <w:r>
        <w:t>To test whether frequency tension was confined to benign-looking missense variation or extended into variants normally treated as severe by annotation, we defined a severe-annotation class comprising LOF and splice/intronic records. We compared naive frequency tension (global or popmax AF &gt;1e-5), AC-supported frequency tension, and red-priority calls across severe annotations, missense annotations, and LOF subtypes. We repeated the severe-annotation summary after excluding CASQ2 and TRDN, the canonical recessive/biallelic arrhythmia genes, and within genes with external gnomAD LOEUF upper confidence bound &lt;0.5 or &lt;0.6 where constraint metrics were available. These severe-annotation tests were descriptive biological audits and were not used to compute VITAL scores.</w:t>
      </w:r>
    </w:p>
    <w:p>
      <w:r>
        <w:t>As an external curated comparator independent of ClinVar label churn, we evaluated expert-panel reviewed P/LP assertions in the 3,000-variant cross-disease set. Expert-panel records were not treated as automatic truth labels for downgrade. They served as a specificity and stability comparator asking whether VITAL would incorrectly promote curated high-frequency exceptions into the urgent red-priority queue.</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Among 328 variants with complete popmax data, 102 (31.1%) were globally rare (global AF &lt;=1e-5) but population-enriched (popmax AF &gt;1e-5). This shows that global AF compresses ancestry-specific signals and that popmax is essential for detecting population-specific frequency tension.</w:t>
      </w:r>
    </w:p>
    <w:p>
      <w:r>
        <w:t>The central message is therefore simple: frequency tension is not rare; it is systematically hidden by global-AF-only workflows and by the tendency to treat missing frequency evidence as absence. VITAL does not make this tension disappear. It makes it small enough to inspect.</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The red-priority queue contained 3 variants, representing a 97.4% reduction in action-priority calls relative to the 115 naive AF flags.</w:t>
      </w:r>
    </w:p>
    <w:p>
      <w:pPr>
        <w:pStyle w:val="Heading2"/>
      </w:pPr>
      <w:r>
        <w:t>Workflow-concordance benchmark against baseline frequency screens</w:t>
      </w:r>
    </w:p>
    <w:p>
      <w:pPr>
        <w:jc w:val="center"/>
      </w:pPr>
      <w:r>
        <w:drawing>
          <wp:inline xmlns:a="http://schemas.openxmlformats.org/drawingml/2006/main" xmlns:pic="http://schemas.openxmlformats.org/drawingml/2006/picture">
            <wp:extent cx="6217920" cy="3772067"/>
            <wp:docPr id="4" name="Picture 4"/>
            <wp:cNvGraphicFramePr>
              <a:graphicFrameLocks noChangeAspect="1"/>
            </wp:cNvGraphicFramePr>
            <a:graphic>
              <a:graphicData uri="http://schemas.openxmlformats.org/drawingml/2006/picture">
                <pic:pic>
                  <pic:nvPicPr>
                    <pic:cNvPr id="0" name="arrhythmia_vital_score_model.png"/>
                    <pic:cNvPicPr/>
                  </pic:nvPicPr>
                  <pic:blipFill>
                    <a:blip r:embed="rId12"/>
                    <a:stretch>
                      <a:fillRect/>
                    </a:stretch>
                  </pic:blipFill>
                  <pic:spPr>
                    <a:xfrm>
                      <a:off x="0" y="0"/>
                      <a:ext cx="6217920" cy="3772067"/>
                    </a:xfrm>
                    <a:prstGeom prst="rect"/>
                  </pic:spPr>
                </pic:pic>
              </a:graphicData>
            </a:graphic>
          </wp:inline>
        </w:drawing>
      </w:r>
    </w:p>
    <w:p>
      <w:pPr>
        <w:jc w:val="center"/>
      </w:pPr>
      <w:r>
        <w:rPr>
          <w:i/>
          <w:sz w:val="18"/>
        </w:rPr>
        <w:t>Figure 4. VITAL score distribution and reclassification-priority bands.</w:t>
      </w:r>
    </w:p>
    <w:p/>
    <w:p>
      <w:pPr>
        <w:jc w:val="center"/>
      </w:pPr>
      <w:r>
        <w:drawing>
          <wp:inline xmlns:a="http://schemas.openxmlformats.org/drawingml/2006/main" xmlns:pic="http://schemas.openxmlformats.org/drawingml/2006/picture">
            <wp:extent cx="6217920" cy="2611526"/>
            <wp:docPr id="5" name="Picture 5"/>
            <wp:cNvGraphicFramePr>
              <a:graphicFrameLocks noChangeAspect="1"/>
            </wp:cNvGraphicFramePr>
            <a:graphic>
              <a:graphicData uri="http://schemas.openxmlformats.org/drawingml/2006/picture">
                <pic:pic>
                  <pic:nvPicPr>
                    <pic:cNvPr id="0" name="arrhythmia_vital_validation_curves.png"/>
                    <pic:cNvPicPr/>
                  </pic:nvPicPr>
                  <pic:blipFill>
                    <a:blip r:embed="rId13"/>
                    <a:stretch>
                      <a:fillRect/>
                    </a:stretch>
                  </pic:blipFill>
                  <pic:spPr>
                    <a:xfrm>
                      <a:off x="0" y="0"/>
                      <a:ext cx="6217920" cy="2611526"/>
                    </a:xfrm>
                    <a:prstGeom prst="rect"/>
                  </pic:spPr>
                </pic:pic>
              </a:graphicData>
            </a:graphic>
          </wp:inline>
        </w:drawing>
      </w:r>
    </w:p>
    <w:p>
      <w:pPr>
        <w:jc w:val="center"/>
      </w:pPr>
      <w:r>
        <w:rPr>
          <w:i/>
          <w:sz w:val="18"/>
        </w:rPr>
        <w:t>Figure 5. Workflow-concordance ROC and PR curves; proxy metrics, not diagnostic accuracy.</w:t>
      </w:r>
    </w:p>
    <w:p/>
    <w:p>
      <w:r>
        <w:t>The workflow-concordance benchmark tested whether VITAL reduces re-evaluation burden relative to baseline frequency screens. It should not be read as independent clinical validation: the positive class was defined using weak review and AC-supported frequency evidence, which also contribute to the red-priority label. This circularity makes conventional diagnostic-performance language appear stronger than it would in a fully independent truth set. We therefore report this section as workflow-concordance, not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the red-priority queue captured all 3 operational positives and sent 0 proxy negatives to urgent review; 109 high-confidence retained-P/LP proxy negatives were correctly withheld from the urgent queue. The corresponding proxy positive-concordance and capture-concordance values are both 1.00, with very wide Wilson 95% intervals (0.44-1.00) because only three operational positives exist. The popmax/global AF &gt;1e-5 baseline captured the same three operational positives but produced 53 false-positive urgent-review triggers; the AF &gt;1e-5 plus AC &gt;=20 baseline still produced 6 false positives.</w:t>
      </w:r>
    </w:p>
    <w:p>
      <w:r>
        <w:t>The threshold sweep showed that this result was not dependent on a single brittle cutoff. At VITAL score &gt;=60, all three operational positives were still captured but 2 proxy negatives entered urgent review. At cutoffs of 65 and 70, all three operational positives were captured with 0 proxy false positives. At cutoffs &gt;=75, proxy false positives remained 0 but only 1/3 operational positives was captured.</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The red-priority queue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workflow-concordance benchmark, the naive popmax/global AF &gt;1e-5 screen produced 53 false positives among 109 high-confidence retained-P/LP proxy negatives, whereas the red-priority queue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entered the red-priority queue. At AC&gt;=10, 15 variants had AC-supported signals and the same 4 entered the red-priority queue. At the prespecified AC&gt;=20 threshold, 9 variants had AC-supported signals and 3 entered the red-priority queue. At AC&gt;=50, only 3 variants had AC-supported signals and 1 remained red-priority.</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r>
        <w:t>We also varied one component weight at a time from 0.5x to 1.5x while holding the other primary weights fixed. This heatmap makes the decision space visible rather than hiding it in five profile names. Red-priority composition was most sensitive when AF pressure or AC reliability was halved, leaving only the SCN5A anchor call. At the primary weights and higher multipliers, the queue returned to SCN5A/TRDN/KCNH2. No one-weight perturbation introduced a new red-priority variant.</w:t>
      </w:r>
    </w:p>
    <w:p>
      <w:pPr>
        <w:jc w:val="center"/>
      </w:pPr>
      <w:r>
        <w:drawing>
          <wp:inline xmlns:a="http://schemas.openxmlformats.org/drawingml/2006/main" xmlns:pic="http://schemas.openxmlformats.org/drawingml/2006/picture">
            <wp:extent cx="6217920" cy="3084088"/>
            <wp:docPr id="6" name="Picture 6"/>
            <wp:cNvGraphicFramePr>
              <a:graphicFrameLocks noChangeAspect="1"/>
            </wp:cNvGraphicFramePr>
            <a:graphic>
              <a:graphicData uri="http://schemas.openxmlformats.org/drawingml/2006/picture">
                <pic:pic>
                  <pic:nvPicPr>
                    <pic:cNvPr id="0" name="arrhythmia_vital_one_weight_sensitivity_heatmap.png"/>
                    <pic:cNvPicPr/>
                  </pic:nvPicPr>
                  <pic:blipFill>
                    <a:blip r:embed="rId14"/>
                    <a:stretch>
                      <a:fillRect/>
                    </a:stretch>
                  </pic:blipFill>
                  <pic:spPr>
                    <a:xfrm>
                      <a:off x="0" y="0"/>
                      <a:ext cx="6217920" cy="3084088"/>
                    </a:xfrm>
                    <a:prstGeom prst="rect"/>
                  </pic:spPr>
                </pic:pic>
              </a:graphicData>
            </a:graphic>
          </wp:inline>
        </w:drawing>
      </w:r>
    </w:p>
    <w:p>
      <w:pPr>
        <w:jc w:val="center"/>
      </w:pPr>
      <w:r>
        <w:rPr>
          <w:i/>
          <w:sz w:val="18"/>
        </w:rPr>
        <w:t>Figure 6. VITAL one-weight sensitivity heatmap.</w:t>
      </w:r>
    </w:p>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red-priority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Red-priority</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Severe annotations do not protect against frequency discordance</w:t>
      </w:r>
    </w:p>
    <w:p>
      <w:r>
        <w:t>The central biological claim is that severe annotation is not a shield against population-frequency contradiction. Among 334 AF-observed arrhythmia P/LP variants, 115 (34.4%) had popmax/global AF &gt;1e-5. This was not confined to benign-looking missense assertions: 92/262 LOF/splice records (35.1%) were frequency-discordant, similar to missense records (19/66, 28.8%; Fisher OR=1.34, p=0.384). Within LOF subtypes, frequency discordance was present in 29/82 frameshift variants (35.4%), 33/108 stop-gained variants (30.6%), and 23/60 canonical splice variants (38.3%). Severe HGVS consequence therefore does not make a ClinVar P/LP assertion frequency-clean.</w:t>
      </w:r>
    </w:p>
    <w:p>
      <w:r>
        <w:t>This pattern was systematic rather than a single-gene artifact. Severe-annotation discordance spanned 10 arrhythmia genes. After excluding CASQ2 and TRDN, the recessive/biallelic arrhythmia genes most likely to tolerate carrier frequency, 57/197 severe annotations (28.9%) remained frequency-discordant across 8 genes. Restricting to constrained genes did not eliminate the pattern: among genes with gnomAD LOEUF upper confidence bound &lt;0.5, 24/76 severe annotations (31.6%) remained frequency-discordant. The result is not that LOF variants are often benign. The narrower and more clinically useful conclusion is that LOF annotations are not sufficient to override population-frequency contradictions. When severe annotation, public P/LP assertion, and population frequency disagree, the correct review target is mechanism and effect size: recessive carrier state, founder enrichment, reduced penetrance, hypomorphic effect, transcript rescue or NMD escape, allele-specific evidence, or overcalling.</w:t>
      </w:r>
    </w:p>
    <w:p>
      <w:pPr>
        <w:jc w:val="center"/>
      </w:pPr>
      <w:r>
        <w:drawing>
          <wp:inline xmlns:a="http://schemas.openxmlformats.org/drawingml/2006/main" xmlns:pic="http://schemas.openxmlformats.org/drawingml/2006/picture">
            <wp:extent cx="6217920" cy="2252870"/>
            <wp:docPr id="7" name="Picture 7"/>
            <wp:cNvGraphicFramePr>
              <a:graphicFrameLocks noChangeAspect="1"/>
            </wp:cNvGraphicFramePr>
            <a:graphic>
              <a:graphicData uri="http://schemas.openxmlformats.org/drawingml/2006/picture">
                <pic:pic>
                  <pic:nvPicPr>
                    <pic:cNvPr id="0" name="vital_external_truth_biological_claim.png"/>
                    <pic:cNvPicPr/>
                  </pic:nvPicPr>
                  <pic:blipFill>
                    <a:blip r:embed="rId15"/>
                    <a:stretch>
                      <a:fillRect/>
                    </a:stretch>
                  </pic:blipFill>
                  <pic:spPr>
                    <a:xfrm>
                      <a:off x="0" y="0"/>
                      <a:ext cx="6217920" cy="2252870"/>
                    </a:xfrm>
                    <a:prstGeom prst="rect"/>
                  </pic:spPr>
                </pic:pic>
              </a:graphicData>
            </a:graphic>
          </wp:inline>
        </w:drawing>
      </w:r>
    </w:p>
    <w:p>
      <w:pPr>
        <w:jc w:val="center"/>
      </w:pPr>
      <w:r>
        <w:rPr>
          <w:i/>
          <w:sz w:val="18"/>
        </w:rPr>
        <w:t>Figure 7. Severe-annotation frequency discordance and expert-panel comparator.</w:t>
      </w:r>
    </w:p>
    <w:p/>
    <w:p>
      <w:r>
        <w:t>Expert-panel reviewed P/LP assertions in the cross-disease set provided an external curated comparator not based on future ClinVar churn. Among 204 expert-panel reviewed P/LP assertions, 39 (19.1%) had naive AF tension and 13 (6.4%) were AC-supported; 17/150 severe expert-panel assertions (11.3%) were frequency-discordant. VITAL did not designate any expert-panel record as red-priority (0/204), although three reached orange high-tension. This is the intended behavior: curated high-frequency exceptions should remain visible as tension cases without being converted into urgent downgrade calls. The comparator supports specificity of the red gate and reinforces the biological claim that frequency discordance can reflect mechanism-specific pathogenicity, founder or carrier architecture, low penetrance, or context-dependent effect rather than simple misclassification.</w:t>
      </w:r>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Red-priority</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red-priority despite a classically severe predicted consequence, with AMR popmax AF=2.18e-4 and global AC=40. A second TRDN frameshift, VCV001074440, reached the high-tension band but did not pass the red-priority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Red-priority variants and explainable case-level prioritization</w:t>
      </w:r>
    </w:p>
    <w:p>
      <w:r>
        <w:t>The three red-priority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In this framework, a red-priority designation should be interpreted as "review now" rather than "algorithm-already-benign." Red-priority variants represent assertions under sufficient combined pressure from population frequency, review fragility, and context mismatch to justify immediate expert reassessment, while the final clinical conclusion remains with human reviewers.</w:t>
      </w:r>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1"/>
      </w:pPr>
      <w:r>
        <w:t>Biological contrast case studies</w:t>
      </w:r>
    </w:p>
    <w:p>
      <w:r>
        <w:t>The red variants should be read as compact biological investigations, not as a supplemental outlier list. We therefore placed each case in a contrast frame: VITAL score, AF signal, real LOEUF, heart expression, expected disease mechanism, and the most plausible interpretation of the conflict. This makes the key distinction visible: VITAL does not say that all high-frequency P/LP assertions are benign. It asks whether the public assertion is biologically coherent under the mechanism it appears to claim.</w:t>
      </w:r>
    </w:p>
    <w:p>
      <w:pPr>
        <w:jc w:val="center"/>
      </w:pPr>
      <w:r>
        <w:drawing>
          <wp:inline xmlns:a="http://schemas.openxmlformats.org/drawingml/2006/main" xmlns:pic="http://schemas.openxmlformats.org/drawingml/2006/picture">
            <wp:extent cx="6217920" cy="4239491"/>
            <wp:docPr id="8" name="Picture 8"/>
            <wp:cNvGraphicFramePr>
              <a:graphicFrameLocks noChangeAspect="1"/>
            </wp:cNvGraphicFramePr>
            <a:graphic>
              <a:graphicData uri="http://schemas.openxmlformats.org/drawingml/2006/picture">
                <pic:pic>
                  <pic:nvPicPr>
                    <pic:cNvPr id="0" name="vital_biological_contrast_cases.png"/>
                    <pic:cNvPicPr/>
                  </pic:nvPicPr>
                  <pic:blipFill>
                    <a:blip r:embed="rId16"/>
                    <a:stretch>
                      <a:fillRect/>
                    </a:stretch>
                  </pic:blipFill>
                  <pic:spPr>
                    <a:xfrm>
                      <a:off x="0" y="0"/>
                      <a:ext cx="6217920" cy="4239491"/>
                    </a:xfrm>
                    <a:prstGeom prst="rect"/>
                  </pic:spPr>
                </pic:pic>
              </a:graphicData>
            </a:graphic>
          </wp:inline>
        </w:drawing>
      </w:r>
    </w:p>
    <w:p>
      <w:pPr>
        <w:jc w:val="center"/>
      </w:pPr>
      <w:r>
        <w:rPr>
          <w:i/>
          <w:sz w:val="18"/>
        </w:rPr>
        <w:t>Figure 8. Red-priority biological contrast case studies.</w:t>
      </w:r>
    </w:p>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AF signal</w:t>
            </w:r>
          </w:p>
        </w:tc>
        <w:tc>
          <w:tcPr>
            <w:tcW w:type="dxa" w:w="2074"/>
            <w:vAlign w:val="top"/>
            <w:shd w:fill="D9EAF7"/>
          </w:tcPr>
          <w:p>
            <w:pPr>
              <w:jc w:val="left"/>
            </w:pPr>
            <w:r/>
            <w:r>
              <w:rPr>
                <w:b/>
                <w:sz w:val="16"/>
              </w:rPr>
              <w:t>Biological expectation</w:t>
            </w:r>
          </w:p>
        </w:tc>
        <w:tc>
          <w:tcPr>
            <w:tcW w:type="dxa" w:w="2074"/>
            <w:vAlign w:val="top"/>
            <w:shd w:fill="D9EAF7"/>
          </w:tcPr>
          <w:p>
            <w:pPr>
              <w:jc w:val="left"/>
            </w:pPr>
            <w:r/>
            <w:r>
              <w:rPr>
                <w:b/>
                <w:sz w:val="16"/>
              </w:rPr>
              <w:t>Reality / interpretation</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96.1</w:t>
            </w:r>
          </w:p>
        </w:tc>
        <w:tc>
          <w:tcPr>
            <w:tcW w:type="dxa" w:w="2074"/>
            <w:vAlign w:val="top"/>
          </w:tcPr>
          <w:p>
            <w:pPr>
              <w:jc w:val="left"/>
            </w:pPr>
            <w:r/>
            <w:r>
              <w:rPr>
                <w:b w:val="0"/>
                <w:sz w:val="16"/>
              </w:rPr>
              <w:t>global AF=1.46e-4, AC=214; AFR popmax AF=5.68e-3, AC=190</w:t>
            </w:r>
          </w:p>
        </w:tc>
        <w:tc>
          <w:tcPr>
            <w:tcW w:type="dxa" w:w="2074"/>
            <w:vAlign w:val="top"/>
          </w:tcPr>
          <w:p>
            <w:pPr>
              <w:jc w:val="left"/>
            </w:pPr>
            <w:r/>
            <w:r>
              <w:rPr>
                <w:b w:val="0"/>
                <w:sz w:val="16"/>
              </w:rPr>
              <w:t>LOEUF=0.372; heart nTPM=41.3; dominant Brugada/channelopathy label but composite haplotype and drug-triggered susceptibility context</w:t>
            </w:r>
          </w:p>
        </w:tc>
        <w:tc>
          <w:tcPr>
            <w:tcW w:type="dxa" w:w="2074"/>
            <w:vAlign w:val="top"/>
          </w:tcPr>
          <w:p>
            <w:pPr>
              <w:jc w:val="left"/>
            </w:pPr>
            <w:r/>
            <w:r>
              <w:rPr>
                <w:b w:val="0"/>
                <w:sz w:val="16"/>
              </w:rPr>
              <w:t>Frequency incompatible with a straightforward high-penetrance dominant Mendelian label; more consistent with context-dependent susceptibility or pharmacogenomic/modifier behavior pending expert review.</w:t>
            </w:r>
          </w:p>
        </w:tc>
      </w:tr>
      <w:tr>
        <w:tc>
          <w:tcPr>
            <w:tcW w:type="dxa" w:w="2074"/>
            <w:vAlign w:val="top"/>
          </w:tcPr>
          <w:p>
            <w:pPr>
              <w:jc w:val="left"/>
            </w:pPr>
            <w:r/>
            <w:r>
              <w:rPr>
                <w:b w:val="0"/>
                <w:sz w:val="16"/>
              </w:rPr>
              <w:t>TRDN VCV001325231 c.1050del (p.Glu351fs)</w:t>
            </w:r>
          </w:p>
        </w:tc>
        <w:tc>
          <w:tcPr>
            <w:tcW w:type="dxa" w:w="2074"/>
            <w:vAlign w:val="top"/>
          </w:tcPr>
          <w:p>
            <w:pPr>
              <w:jc w:val="left"/>
            </w:pPr>
            <w:r/>
            <w:r>
              <w:rPr>
                <w:b w:val="0"/>
                <w:sz w:val="16"/>
              </w:rPr>
              <w:t>74.3</w:t>
            </w:r>
          </w:p>
        </w:tc>
        <w:tc>
          <w:tcPr>
            <w:tcW w:type="dxa" w:w="2074"/>
            <w:vAlign w:val="top"/>
          </w:tcPr>
          <w:p>
            <w:pPr>
              <w:jc w:val="left"/>
            </w:pPr>
            <w:r/>
            <w:r>
              <w:rPr>
                <w:b w:val="0"/>
                <w:sz w:val="16"/>
              </w:rPr>
              <w:t>global AF=2.77e-5, AC=40; AMR popmax AF=2.18e-4, AC=9</w:t>
            </w:r>
          </w:p>
        </w:tc>
        <w:tc>
          <w:tcPr>
            <w:tcW w:type="dxa" w:w="2074"/>
            <w:vAlign w:val="top"/>
          </w:tcPr>
          <w:p>
            <w:pPr>
              <w:jc w:val="left"/>
            </w:pPr>
            <w:r/>
            <w:r>
              <w:rPr>
                <w:b w:val="0"/>
                <w:sz w:val="16"/>
              </w:rPr>
              <w:t>LOEUF=1.359; heart nTPM=406.7; recessive/biallelic triadin-null model where heterozygous carrier frequency can be tolerated</w:t>
            </w:r>
          </w:p>
        </w:tc>
        <w:tc>
          <w:tcPr>
            <w:tcW w:type="dxa" w:w="2074"/>
            <w:vAlign w:val="top"/>
          </w:tcPr>
          <w:p>
            <w:pPr>
              <w:jc w:val="left"/>
            </w:pPr>
            <w:r/>
            <w:r>
              <w:rPr>
                <w:b w:val="0"/>
                <w:sz w:val="16"/>
              </w:rPr>
              <w:t>Consistent with recessive carrier frequency rather than automatic benignity; VITAL flags assertion tension, not loss of affected-state pathogenicity.</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70.3</w:t>
            </w:r>
          </w:p>
        </w:tc>
        <w:tc>
          <w:tcPr>
            <w:tcW w:type="dxa" w:w="2074"/>
            <w:vAlign w:val="top"/>
          </w:tcPr>
          <w:p>
            <w:pPr>
              <w:jc w:val="left"/>
            </w:pPr>
            <w:r/>
            <w:r>
              <w:rPr>
                <w:b w:val="0"/>
                <w:sz w:val="16"/>
              </w:rPr>
              <w:t>global AF=4.37e-5, AC=24; ASJ popmax AF=1.32e-4, AC=2</w:t>
            </w:r>
          </w:p>
        </w:tc>
        <w:tc>
          <w:tcPr>
            <w:tcW w:type="dxa" w:w="2074"/>
            <w:vAlign w:val="top"/>
          </w:tcPr>
          <w:p>
            <w:pPr>
              <w:jc w:val="left"/>
            </w:pPr>
            <w:r/>
            <w:r>
              <w:rPr>
                <w:b w:val="0"/>
                <w:sz w:val="16"/>
              </w:rPr>
              <w:t>LOEUF=0.568; heart nTPM=28.7; dominant splice-disruption/LQTS model would predict strong rarity</w:t>
            </w:r>
          </w:p>
        </w:tc>
        <w:tc>
          <w:tcPr>
            <w:tcW w:type="dxa" w:w="2074"/>
            <w:vAlign w:val="top"/>
          </w:tcPr>
          <w:p>
            <w:pPr>
              <w:jc w:val="left"/>
            </w:pPr>
            <w:r/>
            <w:r>
              <w:rPr>
                <w:b w:val="0"/>
                <w:sz w:val="16"/>
              </w:rPr>
              <w:t>Biologically uncomfortable but unresolved: borderline weight sensitivity, sparse allele-specific evidence, possible same-site ambiguity, reduced penetrance, founder enrichment, or overcalling.</w:t>
            </w:r>
          </w:p>
        </w:tc>
      </w:tr>
    </w:tbl>
    <w:p/>
    <w:p>
      <w:r>
        <w:t>This contrast is the biological layer of VITAL. LOEUF is not shown as a decorative number: it changes the logic of interpretation. In SCN5A and KCNH2, moderate LOF constraint makes high-frequency dominant Mendelian claims harder to sustain without strong phenotype or functional evidence. In TRDN, the absence of LOF constraint and the recessive/biallelic disease model make the same kind of AF signal less contradictory. Expression is used similarly: high or moderate heart expression supports clinical relevance of the gene, but it does not rescue a frequency-incompatible assertion without the correct disease mechanism.</w:t>
      </w:r>
    </w:p>
    <w:p>
      <w:pPr>
        <w:pStyle w:val="Heading2"/>
      </w:pPr>
      <w:r>
        <w:t>Live manual-review snapshot of red-priority variants</w:t>
      </w:r>
    </w:p>
    <w:p>
      <w:r>
        <w:t>To close the loop between scoring and clinical review, we manually rechecked the three red-priority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t>For SCN5A c.[3919C&gt;T;694G&gt;A], the principal tension is not merely elevated frequency, but the coexistence of a fragile literature-based ClinVar assertion, a drug-triggered Brugada phenotype, apparent ancestry enrichment, and unresolved transferability from a haplotype-specific context to a broad Mendelian pathogenic label. This pattern is more consistent with a context-dependent susceptibility haplotype than with a straightforward high-penetrance monogenic Brugada variant.</w:t>
      </w:r>
    </w:p>
    <w:p>
      <w:r>
        <w:t>SCN5A also illustrates the boundary between a red-priority queue and a benign-reclassification list. The frequency and review-quality evidence are strong enough that a downgrade to VUS, likely benign, or a context-specific/non-Mendelian assertion is plausible and should be urgently evaluated. However, VITAL does not itself adjudicate haplotype phase, penetrance, functional/drug-response literature, phenotype specificity, or disease-mechanism context. Therefore, the red-priority label means "classification is under high tension and should be reviewed now," not "the algorithm has assigned benign status."</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t>For TRDN c.1050del (p.Glu351fs), the observed frequency tension is biologically less contradictory than it would be for a classically dominant high-penetrance arrhythmia gene, because the strongest established disease model for TRDN is a recessive or biallelic null architecture. In this setting, carrier frequency may generate triage tension without necessarily undermining pathogenicity in the affected-state context.</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For KCNH2 c.2398+2T&gt;G, the review priority arises not only from frequency tension but also from sparse allele-specific evidence, single-submitter dependence, and the practical risk of same-site allele conflation with other donor-site substitutions at the same locus. This makes the case methodologically high-priority even before any reclassification claim is entertained.</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1"/>
      </w:pPr>
      <w:r>
        <w:t>Additional validation and stress tests</w:t>
      </w:r>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9" name="Picture 9"/>
            <wp:cNvGraphicFramePr>
              <a:graphicFrameLocks noChangeAspect="1"/>
            </wp:cNvGraphicFramePr>
            <a:graphic>
              <a:graphicData uri="http://schemas.openxmlformats.org/drawingml/2006/picture">
                <pic:pic>
                  <pic:nvPicPr>
                    <pic:cNvPr id="0" name="arrhythmia_review_fragility.png"/>
                    <pic:cNvPicPr/>
                  </pic:nvPicPr>
                  <pic:blipFill>
                    <a:blip r:embed="rId17"/>
                    <a:stretch>
                      <a:fillRect/>
                    </a:stretch>
                  </pic:blipFill>
                  <pic:spPr>
                    <a:xfrm>
                      <a:off x="0" y="0"/>
                      <a:ext cx="6217920" cy="3497580"/>
                    </a:xfrm>
                    <a:prstGeom prst="rect"/>
                  </pic:spPr>
                </pic:pic>
              </a:graphicData>
            </a:graphic>
          </wp:inline>
        </w:drawing>
      </w:r>
    </w:p>
    <w:p>
      <w:pPr>
        <w:jc w:val="center"/>
      </w:pPr>
      <w:r>
        <w:rPr>
          <w:i/>
          <w:sz w:val="18"/>
        </w:rPr>
        <w:t>Figure 9. ClinVar review fragility among frequency-supported signals.</w:t>
      </w:r>
    </w:p>
    <w:p/>
    <w:p>
      <w:r>
        <w:t>Review quality was not hidden inside a black-box score. Of the 9 AC-supported frequency signals, 6 came from multiple-submitter/no-conflict records and were not automatically marked red-priority. All 3 red-priority variants came from review-fragile records: 2/3 single-submitter and 1/3 weak/no-assertion. This makes review fragility auditable and clinically interpretable.</w:t>
      </w:r>
    </w:p>
    <w:p>
      <w:pPr>
        <w:pStyle w:val="Heading2"/>
      </w:pPr>
      <w:r>
        <w:t>Handling no-frequency-evidence variants</w:t>
      </w:r>
    </w:p>
    <w:p>
      <w:pPr>
        <w:jc w:val="center"/>
      </w:pPr>
      <w:r>
        <w:drawing>
          <wp:inline xmlns:a="http://schemas.openxmlformats.org/drawingml/2006/main" xmlns:pic="http://schemas.openxmlformats.org/drawingml/2006/picture">
            <wp:extent cx="6217920" cy="3826190"/>
            <wp:docPr id="10" name="Picture 10"/>
            <wp:cNvGraphicFramePr>
              <a:graphicFrameLocks noChangeAspect="1"/>
            </wp:cNvGraphicFramePr>
            <a:graphic>
              <a:graphicData uri="http://schemas.openxmlformats.org/drawingml/2006/picture">
                <pic:pic>
                  <pic:nvPicPr>
                    <pic:cNvPr id="0" name="vital_gray_zone_workflow.png"/>
                    <pic:cNvPicPr/>
                  </pic:nvPicPr>
                  <pic:blipFill>
                    <a:blip r:embed="rId18"/>
                    <a:stretch>
                      <a:fillRect/>
                    </a:stretch>
                  </pic:blipFill>
                  <pic:spPr>
                    <a:xfrm>
                      <a:off x="0" y="0"/>
                      <a:ext cx="6217920" cy="3826190"/>
                    </a:xfrm>
                    <a:prstGeom prst="rect"/>
                  </pic:spPr>
                </pic:pic>
              </a:graphicData>
            </a:graphic>
          </wp:inline>
        </w:drawing>
      </w:r>
    </w:p>
    <w:p>
      <w:pPr>
        <w:jc w:val="center"/>
      </w:pPr>
      <w:r>
        <w:rPr>
          <w:i/>
          <w:sz w:val="18"/>
        </w:rPr>
        <w:t>Figure 10. Workflow for no-frequency-evidence gray variants.</w:t>
      </w:r>
    </w:p>
    <w:p/>
    <w:p>
      <w:r>
        <w:t>The gray no-frequency-evidence band is a managed uncertainty state, not a low-priority or green state. Gray no-frequency-evidence variants should not be interpreted as frequency-consistent or low-priority by default; rather, they represent an uncertainty class in which representation-aware checks, inheritance context, orthogonal validation, and deferred expert review are more appropriate than naive absence-based inference.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(Figure: Gray no-frequency-evidence workflow). First, split SNVs/MNVs from indels, duplications, and complex alleles because the technical meaning of absence differs by variant type. Second, move gray variants to expedited review when at least one clinical-priority feature is present: predicted LOF or canonical splice effect in a dominant/high-actionability gene; established haploinsufficiency or LOEUF &lt;0.5 when available; location in a curated critical domain or hotspot with phenotype match; or weak/single-submitter assertion in a record likely to affect patient-facing decisions. Third, require representation checks for indels, duplications, and complex alleles, including left-normalization, transcript/HGVS consistency, repeat context, local mappability/GC review, and breakpoint plausibility. Fourth, use orthogonal validation when the result could affect a patient-facing decision: long-read sequencing, PCR/Sanger across the breakpoint, MLPA/array methods for copy-number-like events, or laboratory-specific evidence review. Fifth, maintain a deferred gray queue for variants without immediate clinical actionability and re-query them after ClinVar, gnomAD, or local coverage updates. This turns "not observed" into an auditable workflow state rather than an implicit assumption of rarity.</w:t>
      </w:r>
    </w:p>
    <w:p>
      <w:pPr>
        <w:pStyle w:val="Heading2"/>
      </w:pPr>
      <w:r>
        <w:t>Historical ClinVar analysis: preliminary enrichment in a sparse red set</w:t>
      </w:r>
    </w:p>
    <w:p>
      <w:pPr>
        <w:jc w:val="center"/>
      </w:pPr>
      <w:r>
        <w:drawing>
          <wp:inline xmlns:a="http://schemas.openxmlformats.org/drawingml/2006/main" xmlns:pic="http://schemas.openxmlformats.org/drawingml/2006/picture">
            <wp:extent cx="6217920" cy="7461504"/>
            <wp:docPr id="11" name="Picture 11"/>
            <wp:cNvGraphicFramePr>
              <a:graphicFrameLocks noChangeAspect="1"/>
            </wp:cNvGraphicFramePr>
            <a:graphic>
              <a:graphicData uri="http://schemas.openxmlformats.org/drawingml/2006/picture">
                <pic:pic>
                  <pic:nvPicPr>
                    <pic:cNvPr id="0" name="arrhythmia_2023_01_to_current_vital_historical_curves.png"/>
                    <pic:cNvPicPr/>
                  </pic:nvPicPr>
                  <pic:blipFill>
                    <a:blip r:embed="rId19"/>
                    <a:stretch>
                      <a:fillRect/>
                    </a:stretch>
                  </pic:blipFill>
                  <pic:spPr>
                    <a:xfrm>
                      <a:off x="0" y="0"/>
                      <a:ext cx="6217920" cy="7461504"/>
                    </a:xfrm>
                    <a:prstGeom prst="rect"/>
                  </pic:spPr>
                </pic:pic>
              </a:graphicData>
            </a:graphic>
          </wp:inline>
        </w:drawing>
      </w:r>
    </w:p>
    <w:p>
      <w:pPr>
        <w:jc w:val="center"/>
      </w:pPr>
      <w:r>
        <w:rPr>
          <w:i/>
          <w:sz w:val="18"/>
        </w:rPr>
        <w:t>Figure 11. Historical 2023-to-current predictive validation curves.</w:t>
      </w:r>
    </w:p>
    <w:p/>
    <w:p>
      <w:r>
        <w:t>Historical analysis is retained as a secondary audit layer, not as the main claim. In the January 2023 arrhythmia snapshot, 1,669 baseline P/LP variants were available; by April 2026, 17 met the strict endpoint of P/LP to B/LB or VUS, and 113 met the broader endpoint of P/LP to non-P/LP, conflicting, other, or missing follow-up classification.</w:t>
      </w:r>
    </w:p>
    <w:p>
      <w:r>
        <w:t>The red-priority queue identified only 2 baseline variants. Neither became B/LB or VUS under the strict endpoint (0/2; 95% CI 0.00-0.66). Under the broader endpoint, 1/2 red-priority variants later destabilized, compared with 113/1,669 overall, corresponding to 50.0% versus 6.8% and a 7.44-fold enrichment versus non-red variants (95% CI 2.36-23.31). This is directionally interesting but statistically fragile: adding or removing a single event would materially change the apparent enrichment. The historical result should therefore be read as qualitative consistency for an intentionally tiny review queue, not as evidence that VITAL predicts future reclassification.</w:t>
      </w:r>
    </w:p>
    <w:p>
      <w:r>
        <w:t>Historical AC and threshold sensitivity supported the same operational interpretation. AC&gt;=10 and AC&gt;=20 selected the same two baseline red variants, while AC&gt;=5 added one lower-AC non-event and AC&gt;=50 retained only the strongest case. Threshold 80 showed higher apparent enrichment than 70 in one historical slice, but that estimate was based on a single red event and was not used to refit the model. The clinical logic for the default threshold remains workload-oriented: compress 115 naive arrhythmia AF alerts into a queue of 3, not necessarily into a queue of 1.</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Historical AC gate</w:t>
            </w:r>
          </w:p>
        </w:tc>
        <w:tc>
          <w:tcPr>
            <w:tcW w:type="dxa" w:w="1728"/>
            <w:vAlign w:val="top"/>
            <w:shd w:fill="D9EAF7"/>
          </w:tcPr>
          <w:p>
            <w:pPr>
              <w:jc w:val="left"/>
            </w:pPr>
            <w:r/>
            <w:r>
              <w:rPr>
                <w:b/>
                <w:sz w:val="16"/>
              </w:rPr>
              <w:t>Red-priority count</w:t>
            </w:r>
          </w:p>
        </w:tc>
        <w:tc>
          <w:tcPr>
            <w:tcW w:type="dxa" w:w="1728"/>
            <w:vAlign w:val="top"/>
            <w:shd w:fill="D9EAF7"/>
          </w:tcPr>
          <w:p>
            <w:pPr>
              <w:jc w:val="left"/>
            </w:pPr>
            <w:r/>
            <w:r>
              <w:rPr>
                <w:b/>
                <w:sz w:val="16"/>
              </w:rPr>
              <w:t>Red-priority variants</w:t>
            </w:r>
          </w:p>
        </w:tc>
        <w:tc>
          <w:tcPr>
            <w:tcW w:type="dxa" w:w="1728"/>
            <w:vAlign w:val="top"/>
            <w:shd w:fill="D9EAF7"/>
          </w:tcPr>
          <w:p>
            <w:pPr>
              <w:jc w:val="left"/>
            </w:pPr>
            <w:r/>
            <w:r>
              <w:rPr>
                <w:b/>
                <w:sz w:val="16"/>
              </w:rPr>
              <w:t>Strict events captured</w:t>
            </w:r>
          </w:p>
        </w:tc>
        <w:tc>
          <w:tcPr>
            <w:tcW w:type="dxa" w:w="1728"/>
            <w:vAlign w:val="top"/>
            <w:shd w:fill="D9EAF7"/>
          </w:tcPr>
          <w:p>
            <w:pPr>
              <w:jc w:val="left"/>
            </w:pPr>
            <w:r/>
            <w:r>
              <w:rPr>
                <w:b/>
                <w:sz w:val="16"/>
              </w:rPr>
              <w:t>Broad events captured</w:t>
            </w:r>
          </w:p>
        </w:tc>
        <w:tc>
          <w:tcPr>
            <w:tcW w:type="dxa" w:w="1728"/>
            <w:vAlign w:val="top"/>
            <w:shd w:fill="D9EAF7"/>
          </w:tcPr>
          <w:p>
            <w:pPr>
              <w:jc w:val="left"/>
            </w:pPr>
            <w:r/>
            <w:r>
              <w:rPr>
                <w:b/>
                <w:sz w:val="16"/>
              </w:rPr>
              <w:t>Expanded instability captured</w:t>
            </w:r>
          </w:p>
        </w:tc>
      </w:tr>
      <w:tr>
        <w:tc>
          <w:tcPr>
            <w:tcW w:type="dxa" w:w="1728"/>
            <w:vAlign w:val="top"/>
          </w:tcPr>
          <w:p>
            <w:pPr>
              <w:jc w:val="left"/>
            </w:pPr>
            <w:r/>
            <w:r>
              <w:rPr>
                <w:b w:val="0"/>
                <w:sz w:val="16"/>
              </w:rPr>
              <w:t>AC&gt;=5</w:t>
            </w:r>
          </w:p>
        </w:tc>
        <w:tc>
          <w:tcPr>
            <w:tcW w:type="dxa" w:w="1728"/>
            <w:vAlign w:val="top"/>
          </w:tcPr>
          <w:p>
            <w:pPr>
              <w:jc w:val="left"/>
            </w:pPr>
            <w:r/>
            <w:r>
              <w:rPr>
                <w:b w:val="0"/>
                <w:sz w:val="16"/>
              </w:rPr>
              <w:t>3</w:t>
            </w:r>
          </w:p>
        </w:tc>
        <w:tc>
          <w:tcPr>
            <w:tcW w:type="dxa" w:w="1728"/>
            <w:vAlign w:val="top"/>
          </w:tcPr>
          <w:p>
            <w:pPr>
              <w:jc w:val="left"/>
            </w:pPr>
            <w:r/>
            <w:r>
              <w:rPr>
                <w:b w:val="0"/>
                <w:sz w:val="16"/>
              </w:rPr>
              <w:t>ANK2, KCNE1, TRDN</w:t>
            </w:r>
          </w:p>
        </w:tc>
        <w:tc>
          <w:tcPr>
            <w:tcW w:type="dxa" w:w="1728"/>
            <w:vAlign w:val="top"/>
          </w:tcPr>
          <w:p>
            <w:pPr>
              <w:jc w:val="left"/>
            </w:pPr>
            <w:r/>
            <w:r>
              <w:rPr>
                <w:b w:val="0"/>
                <w:sz w:val="16"/>
              </w:rPr>
              <w:t>0/3</w:t>
            </w:r>
          </w:p>
        </w:tc>
        <w:tc>
          <w:tcPr>
            <w:tcW w:type="dxa" w:w="1728"/>
            <w:vAlign w:val="top"/>
          </w:tcPr>
          <w:p>
            <w:pPr>
              <w:jc w:val="left"/>
            </w:pPr>
            <w:r/>
            <w:r>
              <w:rPr>
                <w:b w:val="0"/>
                <w:sz w:val="16"/>
              </w:rPr>
              <w:t>1/3</w:t>
            </w:r>
          </w:p>
        </w:tc>
        <w:tc>
          <w:tcPr>
            <w:tcW w:type="dxa" w:w="1728"/>
            <w:vAlign w:val="top"/>
          </w:tcPr>
          <w:p>
            <w:pPr>
              <w:jc w:val="left"/>
            </w:pPr>
            <w:r/>
            <w:r>
              <w:rPr>
                <w:b w:val="0"/>
                <w:sz w:val="16"/>
              </w:rPr>
              <w:t>2/3</w:t>
            </w:r>
          </w:p>
        </w:tc>
      </w:tr>
      <w:tr>
        <w:tc>
          <w:tcPr>
            <w:tcW w:type="dxa" w:w="1728"/>
            <w:vAlign w:val="top"/>
          </w:tcPr>
          <w:p>
            <w:pPr>
              <w:jc w:val="left"/>
            </w:pPr>
            <w:r/>
            <w:r>
              <w:rPr>
                <w:b w:val="0"/>
                <w:sz w:val="16"/>
              </w:rPr>
              <w:t>AC&gt;=10</w:t>
            </w:r>
          </w:p>
        </w:tc>
        <w:tc>
          <w:tcPr>
            <w:tcW w:type="dxa" w:w="1728"/>
            <w:vAlign w:val="top"/>
          </w:tcPr>
          <w:p>
            <w:pPr>
              <w:jc w:val="left"/>
            </w:pPr>
            <w:r/>
            <w:r>
              <w:rPr>
                <w:b w:val="0"/>
                <w:sz w:val="16"/>
              </w:rPr>
              <w:t>2</w:t>
            </w:r>
          </w:p>
        </w:tc>
        <w:tc>
          <w:tcPr>
            <w:tcW w:type="dxa" w:w="1728"/>
            <w:vAlign w:val="top"/>
          </w:tcPr>
          <w:p>
            <w:pPr>
              <w:jc w:val="left"/>
            </w:pPr>
            <w:r/>
            <w:r>
              <w:rPr>
                <w:b w:val="0"/>
                <w:sz w:val="16"/>
              </w:rPr>
              <w:t>KCNE1, TRDN</w:t>
            </w:r>
          </w:p>
        </w:tc>
        <w:tc>
          <w:tcPr>
            <w:tcW w:type="dxa" w:w="1728"/>
            <w:vAlign w:val="top"/>
          </w:tcPr>
          <w:p>
            <w:pPr>
              <w:jc w:val="left"/>
            </w:pPr>
            <w:r/>
            <w:r>
              <w:rPr>
                <w:b w:val="0"/>
                <w:sz w:val="16"/>
              </w:rPr>
              <w:t>0/2</w:t>
            </w:r>
          </w:p>
        </w:tc>
        <w:tc>
          <w:tcPr>
            <w:tcW w:type="dxa" w:w="1728"/>
            <w:vAlign w:val="top"/>
          </w:tcPr>
          <w:p>
            <w:pPr>
              <w:jc w:val="left"/>
            </w:pPr>
            <w:r/>
            <w:r>
              <w:rPr>
                <w:b w:val="0"/>
                <w:sz w:val="16"/>
              </w:rPr>
              <w:t>1/2</w:t>
            </w:r>
          </w:p>
        </w:tc>
        <w:tc>
          <w:tcPr>
            <w:tcW w:type="dxa" w:w="1728"/>
            <w:vAlign w:val="top"/>
          </w:tcPr>
          <w:p>
            <w:pPr>
              <w:jc w:val="left"/>
            </w:pPr>
            <w:r/>
            <w:r>
              <w:rPr>
                <w:b w:val="0"/>
                <w:sz w:val="16"/>
              </w:rPr>
              <w:t>2/2</w:t>
            </w:r>
          </w:p>
        </w:tc>
      </w:tr>
      <w:tr>
        <w:tc>
          <w:tcPr>
            <w:tcW w:type="dxa" w:w="1728"/>
            <w:vAlign w:val="top"/>
          </w:tcPr>
          <w:p>
            <w:pPr>
              <w:jc w:val="left"/>
            </w:pPr>
            <w:r/>
            <w:r>
              <w:rPr>
                <w:b w:val="0"/>
                <w:sz w:val="16"/>
              </w:rPr>
              <w:t>AC&gt;=20</w:t>
            </w:r>
          </w:p>
        </w:tc>
        <w:tc>
          <w:tcPr>
            <w:tcW w:type="dxa" w:w="1728"/>
            <w:vAlign w:val="top"/>
          </w:tcPr>
          <w:p>
            <w:pPr>
              <w:jc w:val="left"/>
            </w:pPr>
            <w:r/>
            <w:r>
              <w:rPr>
                <w:b w:val="0"/>
                <w:sz w:val="16"/>
              </w:rPr>
              <w:t>2</w:t>
            </w:r>
          </w:p>
        </w:tc>
        <w:tc>
          <w:tcPr>
            <w:tcW w:type="dxa" w:w="1728"/>
            <w:vAlign w:val="top"/>
          </w:tcPr>
          <w:p>
            <w:pPr>
              <w:jc w:val="left"/>
            </w:pPr>
            <w:r/>
            <w:r>
              <w:rPr>
                <w:b w:val="0"/>
                <w:sz w:val="16"/>
              </w:rPr>
              <w:t>KCNE1, TRDN</w:t>
            </w:r>
          </w:p>
        </w:tc>
        <w:tc>
          <w:tcPr>
            <w:tcW w:type="dxa" w:w="1728"/>
            <w:vAlign w:val="top"/>
          </w:tcPr>
          <w:p>
            <w:pPr>
              <w:jc w:val="left"/>
            </w:pPr>
            <w:r/>
            <w:r>
              <w:rPr>
                <w:b w:val="0"/>
                <w:sz w:val="16"/>
              </w:rPr>
              <w:t>0/2</w:t>
            </w:r>
          </w:p>
        </w:tc>
        <w:tc>
          <w:tcPr>
            <w:tcW w:type="dxa" w:w="1728"/>
            <w:vAlign w:val="top"/>
          </w:tcPr>
          <w:p>
            <w:pPr>
              <w:jc w:val="left"/>
            </w:pPr>
            <w:r/>
            <w:r>
              <w:rPr>
                <w:b w:val="0"/>
                <w:sz w:val="16"/>
              </w:rPr>
              <w:t>1/2</w:t>
            </w:r>
          </w:p>
        </w:tc>
        <w:tc>
          <w:tcPr>
            <w:tcW w:type="dxa" w:w="1728"/>
            <w:vAlign w:val="top"/>
          </w:tcPr>
          <w:p>
            <w:pPr>
              <w:jc w:val="left"/>
            </w:pPr>
            <w:r/>
            <w:r>
              <w:rPr>
                <w:b w:val="0"/>
                <w:sz w:val="16"/>
              </w:rPr>
              <w:t>2/2</w:t>
            </w:r>
          </w:p>
        </w:tc>
      </w:tr>
      <w:tr>
        <w:tc>
          <w:tcPr>
            <w:tcW w:type="dxa" w:w="1728"/>
            <w:vAlign w:val="top"/>
          </w:tcPr>
          <w:p>
            <w:pPr>
              <w:jc w:val="left"/>
            </w:pPr>
            <w:r/>
            <w:r>
              <w:rPr>
                <w:b w:val="0"/>
                <w:sz w:val="16"/>
              </w:rPr>
              <w:t>AC&gt;=50</w:t>
            </w:r>
          </w:p>
        </w:tc>
        <w:tc>
          <w:tcPr>
            <w:tcW w:type="dxa" w:w="1728"/>
            <w:vAlign w:val="top"/>
          </w:tcPr>
          <w:p>
            <w:pPr>
              <w:jc w:val="left"/>
            </w:pPr>
            <w:r/>
            <w:r>
              <w:rPr>
                <w:b w:val="0"/>
                <w:sz w:val="16"/>
              </w:rPr>
              <w:t>1</w:t>
            </w:r>
          </w:p>
        </w:tc>
        <w:tc>
          <w:tcPr>
            <w:tcW w:type="dxa" w:w="1728"/>
            <w:vAlign w:val="top"/>
          </w:tcPr>
          <w:p>
            <w:pPr>
              <w:jc w:val="left"/>
            </w:pPr>
            <w:r/>
            <w:r>
              <w:rPr>
                <w:b w:val="0"/>
                <w:sz w:val="16"/>
              </w:rPr>
              <w:t>KCNE1</w:t>
            </w:r>
          </w:p>
        </w:tc>
        <w:tc>
          <w:tcPr>
            <w:tcW w:type="dxa" w:w="1728"/>
            <w:vAlign w:val="top"/>
          </w:tcPr>
          <w:p>
            <w:pPr>
              <w:jc w:val="left"/>
            </w:pPr>
            <w:r/>
            <w:r>
              <w:rPr>
                <w:b w:val="0"/>
                <w:sz w:val="16"/>
              </w:rPr>
              <w:t>0/1</w:t>
            </w:r>
          </w:p>
        </w:tc>
        <w:tc>
          <w:tcPr>
            <w:tcW w:type="dxa" w:w="1728"/>
            <w:vAlign w:val="top"/>
          </w:tcPr>
          <w:p>
            <w:pPr>
              <w:jc w:val="left"/>
            </w:pPr>
            <w:r/>
            <w:r>
              <w:rPr>
                <w:b w:val="0"/>
                <w:sz w:val="16"/>
              </w:rPr>
              <w:t>1/1</w:t>
            </w:r>
          </w:p>
        </w:tc>
        <w:tc>
          <w:tcPr>
            <w:tcW w:type="dxa" w:w="1728"/>
            <w:vAlign w:val="top"/>
          </w:tcPr>
          <w:p>
            <w:pPr>
              <w:jc w:val="left"/>
            </w:pPr>
            <w:r/>
            <w:r>
              <w:rPr>
                <w:b w:val="0"/>
                <w:sz w:val="16"/>
              </w:rPr>
              <w:t>1/1</w:t>
            </w:r>
          </w:p>
        </w:tc>
      </w:tr>
    </w:tbl>
    <w:p/>
    <w:p>
      <w:r>
        <w:t>This table is not a claim that AC&gt;=20 is empirically optimal. It shows that AC&gt;=20 behaves like AC&gt;=10 in the historical arrhythmia slice while avoiding the lower-AC ANK2 addition at AC&gt;=5. The AC gate is therefore an operational robustness filter, not a scoring feature.</w:t>
      </w:r>
    </w:p>
    <w:p>
      <w:r>
        <w:t>The sparse red-set design also limits statistical power. With only 3 red-priority calls, a one-sided binomial enrichment screen against the independent strict-event background of 23/3,000 (0.77%) has only 27.1% probability of observing at least one event if the true red-event rate is 10%, 48.8% if the true rate is 20%, and 65.7% if the true rate is 30%. Against a higher broad-event background such as the arrhythmia 113/1,669 rate (6.8%), demonstrating enrichment at alpha=0.05 would require at least 2/3 red events; power would be only 10.4% if the true red-event rate were 20% and 50.0% if it were 50%. These numbers explain why historical validation should be read as a specificity and queue-stability audit rather than as a powered prediction experiment.</w:t>
      </w:r>
    </w:p>
    <w:p>
      <w:r>
        <w:t>Release-to-release composition was only partly stable. The January 2023 arrhythmia red set contained KCNE1 VCV001202620 and TRDN VCV001325231; the April 2026 set contained SCN5A VCV000440850, TRDN VCV001325231, and KCNH2 VCV004535537. The retained exact-VCV overlap was therefore 1 record. KCNH2 was not a drifted 2023 red call: the current red record is a later allele-specific c.2398+2T&gt;G assertion created/submitted in December 2025 with current AC support. This supports treating KCNH2 as a temporally new and weight-borderline signal.</w:t>
      </w:r>
    </w:p>
    <w:p>
      <w:pPr>
        <w:pStyle w:val="Heading2"/>
      </w:pPr>
      <w:r>
        <w:t>Temporal classification stability analysis</w:t>
      </w:r>
    </w:p>
    <w:p>
      <w:r>
        <w:t>The four-snapshot trajectory audit separated monotonic downgrades from transient classification instability. In the 3,000-variant cross-disease historical set, 25 variants met the strict P/LP to B/LB-or-VUS endpoint by April 2026, 125 met the broader non-P/LP/conflicting/other/missing endpoint, and 675 met the expanded endpoint that also counted review-status or aggregate-text changes. No variants followed a P/LP to VUS to P/LP trajectory. However, 9 variants followed a broader P/LP to non-P/LP to P/LP pattern, most commonly through transient conflicting status. None of the 13 cross-disease red-priority variants were flippers.</w:t>
      </w:r>
    </w:p>
    <w:p>
      <w:r>
        <w:t>The arrhythmia panel showed the same pattern. Among 1,669 January 2023 arrhythmia P/LP variants, 18 met the strict endpoint, 121 met the broad endpoint, and 347 met the expanded endpoint. Again, no P/LP to VUS to P/LP flippers were observed. Eight broader P/LP to non-P/LP to P/LP flippers were identified; one was TRDN VCV001325231, which followed P/LP -&gt; P/LP -&gt; other -&gt; P/LP. This makes TRDN a trajectory-instability case, but not a strict downgrade.</w:t>
      </w:r>
    </w:p>
    <w:p>
      <w:r>
        <w:t>The current red-priority arrhythmia cases had distinct trajectories. TRDN VCV001325231 was present throughout the series and returned to P/LP by April 2026 after a transient "no classifications from unflagged records"/other state in January 2025. KCNH2 VCV004535537 was absent from the 2023, 2024, and 2025 bulk variant_summary snapshots and appeared as P/LP by April 2026, consistent with a later red-gate entry rather than a baseline instability event. SCN5A VCV000440850 was present in the current VITAL/VCV-derived cache but was not found in the archived bulk variant_summary snapshots, including April 2026; it is therefore treated as representation/mapping instability in the bulk snapshot audit rather than as an interpretable four-point clinical-significance trajectory.</w:t>
      </w:r>
    </w:p>
    <w:p>
      <w:r>
        <w:t>We identified 33 arrhythmia variants that transiently entered the P/LP classification space in 2024-2025 but were not P/LP in the 2023 baseline and were no longer P/LP in the April 2026 snapshot. These non-persistent assertions represent a distinct instability class separate from strict reclassification trajectories. Retrospective VITAL scoring showed that none of these variants reached the red actionability threshold, and only one variant, KCNQ1 VCV000067060, reached the orange high-tension band. This indicates that transient P/LP assertions are not uniformly driven by population-frequency contradiction signals and therefore are not expected to be systematically prioritized by VITAL.</w:t>
      </w:r>
    </w:p>
    <w:p>
      <w:pPr>
        <w:pStyle w:val="Heading2"/>
      </w:pPr>
      <w:r>
        <w:t>Multi-domain historical audit and alignment sanity checks</w:t>
      </w:r>
    </w:p>
    <w:p>
      <w:r>
        <w:t>The expanded historical dataset combined arrhythmia, cardiomyopathy, epilepsy, hearing loss, and random ClinVar P/LP records, yielding 3,063 pooled-deduplicated variants after prespecified duplicate and cross-domain leakage checks. No red-priority rows were removed by deduplication. Cardiomyopathy, epilepsy, and hearing-loss panels contributed no red-priority calls at the AC&gt;=20 gate; arrhythmia and random ClinVar P/LP contributed two each.</w:t>
      </w:r>
    </w:p>
    <w:p>
      <w:r>
        <w:t>Pooled results were consistent with the arrhythmia-only message but remained sparse. The strict endpoint stayed negative: 0/4 red-priority variants became B/LB/VUS despite 24 strict events overall. For the broad endpoint, 2/4 red-priority variants destabilized compared with 174/3,063 overall (50.0%, 95% CI 15.0%-85.0%; 8.80x enrichment). For the expanded endpoint, 3/4 red-priority variants changed compared with 818/3,063 overall (75.0%, 95% CI 30.1%-95.4%; 2.81x enrichment). Recall was very low, so this remains an enrichment and specificity audit, not a prediction result. Stratified bootstrap and missing-ID breakdowns are provided in machine-readable outputs; neither altered the conclusion.</w:t>
      </w:r>
    </w:p>
    <w:p>
      <w:pPr>
        <w:pStyle w:val="Heading2"/>
      </w:pPr>
      <w:r>
        <w:t>Independent cross-disease burden audit on 3,000 ClinVar P/LP variants</w:t>
      </w:r>
    </w:p>
    <w:p>
      <w:r>
        <w:t>The larger current cross-disease validation sample contained 3,000 unique ClinVar P/LP variants from 726 genes after excluding arrhythmia genes and earlier external-panel genes. The design used 2,000 variants from the top 100 genes by ClinVar P/LP count plus 1,000 fully random eligible variants; sanity checks found no arrhythmia leaks, previous-panel overlaps, or duplicate variant IDs/keys.</w:t>
      </w:r>
    </w:p>
    <w:p>
      <w:r>
        <w:t>Frequency evidence was observed for 668/3,000 variants (22.3%; 95% CI 20.8%-23.8%). A naive popmax/global AF &gt;1e-5 screen flagged 332/3,000 variants (11.1%; 95% CI 10.0%-12.2%). AC-supported frequency evidence reduced this to 71/3,000 (2.37%; 95% CI 1.88%-2.97%). The red-priority queue contained 3/3,000 variants (0.10%; 95% CI 0.034%-0.294%), equivalent to a 110.7-fold compression relative to naive AF screening. The red-priority calls were PRG4 VCV003574703, MNS1 VCV003024123, and DYNC2H1 VCV002749617; all require disease-mechanism, inheritance, phenotype, and literature review rather than automatic reclassification.</w:t>
      </w:r>
    </w:p>
    <w:p>
      <w:r>
        <w:t>The same design applied to the January 2023 snapshot again showed high specificity and low recall. The baseline red-priority queue contained 13/3,000 variants (0.43%; 95% CI 0.25%-0.74%) compared with 379/3,000 naive AF flags (12.6%; 95% CI 11.5%-13.9%). By April 2026, red-priority captured only 1/23 strict P/LP-to-B/LB-or-VUS events (4.3% recall; 95% CI 0.8%-21.0%) but achieved 99.6% specificity. Under the expanded instability endpoint, 11/13 red-priority calls changed (84.6%; 95% CI 57.8%-95.7%) with 99.9% specificity, while recall remained only 1.4%. This confirms the operating profile: red-priority enriches a tiny audit queue but is not a broad future-downgrade predictor.</w:t>
      </w:r>
    </w:p>
    <w:p>
      <w:pPr>
        <w:pStyle w:val="Heading2"/>
      </w:pPr>
      <w:r>
        <w:t>Post-hoc score calibration supports workflow interpretation, not downgrade prediction</w:t>
      </w:r>
    </w:p>
    <w:p>
      <w:r>
        <w:t>Post-hoc calibration gave the most useful interpretation when the endpoint was expanded database instability rather than strict clinical downgrade. Using 5-fold out-of-fold calibration on the 3,000-variant historical cross-disease set, Platt scaling modestly improved the expanded-endpoint Brier score (0.192 vs 0.195 for the uncalibrated base-rate model) and produced low calibration error (ECE=0.008). A VITAL score near the current red threshold mapped to an expanded-instability probability of approximately 50% by Platt scaling: 49.5% at score 70 and 51.1% at score 74. This is clinically interpretable as "substantial chance of database instability or review-status change," not as probability of benign reclassification.</w:t>
      </w:r>
    </w:p>
    <w:p>
      <w:r>
        <w:t>The same calibration was not useful for strict downgrades. For the strict P/LP-to-B/LB-or-VUS endpoint, Platt scaling did not improve over the base-rate model (Brier score 0.00761 vs 0.00761), and a VITAL score of 74 mapped to only 3.0% strict-downgrade probability. This is exactly the desired conclusion for framing: VITAL score can be used as a workflow-instability and burden-compression signal, but it should not be sold as a strict future-downgrade predictor.</w:t>
      </w:r>
    </w:p>
    <w:p>
      <w:pPr>
        <w:jc w:val="center"/>
      </w:pPr>
      <w:r>
        <w:drawing>
          <wp:inline xmlns:a="http://schemas.openxmlformats.org/drawingml/2006/main" xmlns:pic="http://schemas.openxmlformats.org/drawingml/2006/picture">
            <wp:extent cx="6217920" cy="2302933"/>
            <wp:docPr id="12" name="Picture 12"/>
            <wp:cNvGraphicFramePr>
              <a:graphicFrameLocks noChangeAspect="1"/>
            </wp:cNvGraphicFramePr>
            <a:graphic>
              <a:graphicData uri="http://schemas.openxmlformats.org/drawingml/2006/picture">
                <pic:pic>
                  <pic:nvPicPr>
                    <pic:cNvPr id="0" name="vital_cross_disease_3000_score_calibration.png"/>
                    <pic:cNvPicPr/>
                  </pic:nvPicPr>
                  <pic:blipFill>
                    <a:blip r:embed="rId20"/>
                    <a:stretch>
                      <a:fillRect/>
                    </a:stretch>
                  </pic:blipFill>
                  <pic:spPr>
                    <a:xfrm>
                      <a:off x="0" y="0"/>
                      <a:ext cx="6217920" cy="2302933"/>
                    </a:xfrm>
                    <a:prstGeom prst="rect"/>
                  </pic:spPr>
                </pic:pic>
              </a:graphicData>
            </a:graphic>
          </wp:inline>
        </w:drawing>
      </w:r>
    </w:p>
    <w:p>
      <w:pPr>
        <w:jc w:val="center"/>
      </w:pPr>
      <w:r>
        <w:rPr>
          <w:i/>
          <w:sz w:val="18"/>
        </w:rPr>
        <w:t>Figure 12. VITAL score calibration on historical cross-disease data.</w:t>
      </w:r>
    </w:p>
    <w:p/>
    <w:p>
      <w:pPr>
        <w:pStyle w:val="Heading2"/>
      </w:pPr>
      <w:r>
        <w:t>Restricted weight-consistency audit</w:t>
      </w:r>
    </w:p>
    <w:p>
      <w:r>
        <w:t>The expanded endpoint can capture general ClinVar maintenance events, so unrestricted calibration would partly learn review-status churn rather than the biological question VITAL is designed to prioritize. We therefore performed weight-comparison analyses only within the frequency-positive universe: 379 historical cross-disease variants with observed AF &gt;1e-5, of which 156 (41.2%) met the expanded instability endpoint.</w:t>
      </w:r>
    </w:p>
    <w:p>
      <w:r>
        <w:t>The calibration audit was not used to search for better weights. It asked a narrower consistency question: once the analysis is restricted to variants with real frequency tension, do frequency-tension features contribute signal beyond review metadata? The answer was yes. Review-only probes achieved PR AUC 0.555 (95% bootstrap CI 0.482-0.645), while the combined review-plus-tension probe reached PR AUC 0.622 (95% CI 0.537-0.712). We report these values as audit statistics, not as evidence that VITAL should be refit as a predictive model.</w:t>
      </w:r>
    </w:p>
    <w:p>
      <w:r>
        <w:t>Feature dominance supported the intended design. In the combined probe, standardized frequency-tension coefficients summed to 1.75 compared with 1.10 for review features (tension:review ratio 1.60). The strongest tension contributions were technical detectability, variant-type tension, gene constraint, and AC reliability, rather than raw AF magnitude alone. This is consistent with the prespecified weighting scheme, in which frequency-based and representation-aware components form the primary signal and review status acts as a modifier/gate rather than the main driver. Because the endpoint is proxy-based and sparse, the component weights were not fitted to outcome data by design.</w:t>
      </w:r>
    </w:p>
    <w:p>
      <w:pPr>
        <w:jc w:val="center"/>
      </w:pPr>
      <w:r>
        <w:drawing>
          <wp:inline xmlns:a="http://schemas.openxmlformats.org/drawingml/2006/main" xmlns:pic="http://schemas.openxmlformats.org/drawingml/2006/picture">
            <wp:extent cx="6217920" cy="1925549"/>
            <wp:docPr id="13" name="Picture 13"/>
            <wp:cNvGraphicFramePr>
              <a:graphicFrameLocks noChangeAspect="1"/>
            </wp:cNvGraphicFramePr>
            <a:graphic>
              <a:graphicData uri="http://schemas.openxmlformats.org/drawingml/2006/picture">
                <pic:pic>
                  <pic:nvPicPr>
                    <pic:cNvPr id="0" name="vital_cross_disease_3000_restricted_calibration_models.png"/>
                    <pic:cNvPicPr/>
                  </pic:nvPicPr>
                  <pic:blipFill>
                    <a:blip r:embed="rId21"/>
                    <a:stretch>
                      <a:fillRect/>
                    </a:stretch>
                  </pic:blipFill>
                  <pic:spPr>
                    <a:xfrm>
                      <a:off x="0" y="0"/>
                      <a:ext cx="6217920" cy="1925549"/>
                    </a:xfrm>
                    <a:prstGeom prst="rect"/>
                  </pic:spPr>
                </pic:pic>
              </a:graphicData>
            </a:graphic>
          </wp:inline>
        </w:drawing>
      </w:r>
    </w:p>
    <w:p>
      <w:pPr>
        <w:jc w:val="center"/>
      </w:pPr>
      <w:r>
        <w:rPr>
          <w:i/>
          <w:sz w:val="18"/>
        </w:rPr>
        <w:t>Figure 13. Restricted weight-consistency audit.</w:t>
      </w:r>
    </w:p>
    <w:p/>
    <w:p>
      <w:r>
        <w:t>The AC-gate audit supported AC&gt;=20 as an operational robustness threshold rather than an empirically optimized cutoff. In the 3,000-variant historical set, AC&gt;=10 retained 112 AC-supported frequency flags and 44 weak-review frequency flags; AC&gt;=20 reduced these to 87 and 29, respectively, while expanded event rate remained similar (41.1% vs 40.2%). AC&gt;=50 further reduced the queue to 37 frequency flags and 12 weak-review flags but became more aggressive than needed for the intended review-capacity gate. Thus, AC&gt;=20 is best described as a conservative actionability gate that reduces low-count review burden without being learned into the VITAL score.</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14" name="Picture 14"/>
            <wp:cNvGraphicFramePr>
              <a:graphicFrameLocks noChangeAspect="1"/>
            </wp:cNvGraphicFramePr>
            <a:graphic>
              <a:graphicData uri="http://schemas.openxmlformats.org/drawingml/2006/picture">
                <pic:pic>
                  <pic:nvPicPr>
                    <pic:cNvPr id="0" name="vital_external_panel_score_distribution.png"/>
                    <pic:cNvPicPr/>
                  </pic:nvPicPr>
                  <pic:blipFill>
                    <a:blip r:embed="rId22"/>
                    <a:stretch>
                      <a:fillRect/>
                    </a:stretch>
                  </pic:blipFill>
                  <pic:spPr>
                    <a:xfrm>
                      <a:off x="0" y="0"/>
                      <a:ext cx="6217920" cy="3165487"/>
                    </a:xfrm>
                    <a:prstGeom prst="rect"/>
                  </pic:spPr>
                </pic:pic>
              </a:graphicData>
            </a:graphic>
          </wp:inline>
        </w:drawing>
      </w:r>
    </w:p>
    <w:p>
      <w:pPr>
        <w:jc w:val="center"/>
      </w:pPr>
      <w:r>
        <w:rPr>
          <w:i/>
          <w:sz w:val="18"/>
        </w:rPr>
        <w:t>Figure 14.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Red-priority</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The result is narrower but clinically useful: random ClinVar and hearing-loss samples had large naive AF queues (94/500 and 76/300), but no red-priority calls; the BRCA/MMR/APC descriptive comparator also had no red-priority or score &gt;=60 calls. VITAL therefore compresses review burden without manufacturing large urgent queues outside the development context, while leaving sensitivity claims to future independently adjudicated datasets.</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15" name="Picture 15"/>
            <wp:cNvGraphicFramePr>
              <a:graphicFrameLocks noChangeAspect="1"/>
            </wp:cNvGraphicFramePr>
            <a:graphic>
              <a:graphicData uri="http://schemas.openxmlformats.org/drawingml/2006/picture">
                <pic:pic>
                  <pic:nvPicPr>
                    <pic:cNvPr id="0" name="arrhythmia_kcnh2_non_overlap_diagnostics.png"/>
                    <pic:cNvPicPr/>
                  </pic:nvPicPr>
                  <pic:blipFill>
                    <a:blip r:embed="rId23"/>
                    <a:stretch>
                      <a:fillRect/>
                    </a:stretch>
                  </pic:blipFill>
                  <pic:spPr>
                    <a:xfrm>
                      <a:off x="0" y="0"/>
                      <a:ext cx="6217920" cy="4304714"/>
                    </a:xfrm>
                    <a:prstGeom prst="rect"/>
                  </pic:spPr>
                </pic:pic>
              </a:graphicData>
            </a:graphic>
          </wp:inline>
        </w:drawing>
      </w:r>
    </w:p>
    <w:p>
      <w:pPr>
        <w:jc w:val="center"/>
      </w:pPr>
      <w:r>
        <w:rPr>
          <w:i/>
          <w:sz w:val="18"/>
        </w:rPr>
        <w:t>Figure 15. KCNH2 non-overlap diagnostic analysis.</w:t>
      </w:r>
    </w:p>
    <w:p/>
    <w:p>
      <w:pPr>
        <w:jc w:val="center"/>
      </w:pPr>
      <w:r>
        <w:drawing>
          <wp:inline xmlns:a="http://schemas.openxmlformats.org/drawingml/2006/main" xmlns:pic="http://schemas.openxmlformats.org/drawingml/2006/picture">
            <wp:extent cx="6217920" cy="3497580"/>
            <wp:docPr id="16" name="Picture 16"/>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24"/>
                    <a:stretch>
                      <a:fillRect/>
                    </a:stretch>
                  </pic:blipFill>
                  <pic:spPr>
                    <a:xfrm>
                      <a:off x="0" y="0"/>
                      <a:ext cx="6217920" cy="3497580"/>
                    </a:xfrm>
                    <a:prstGeom prst="rect"/>
                  </pic:spPr>
                </pic:pic>
              </a:graphicData>
            </a:graphic>
          </wp:inline>
        </w:drawing>
      </w:r>
    </w:p>
    <w:p>
      <w:pPr>
        <w:jc w:val="center"/>
      </w:pPr>
      <w:r>
        <w:rPr>
          <w:i/>
          <w:sz w:val="18"/>
        </w:rPr>
        <w:t>Figure 16.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Because the mechanism is unresolved, KCNH2 duplication non-overlap is excluded from clinical action recommendations in this manuscript. It is used only as a methodological warning: absence of a KCNH2 duplication from short-read population data should not be overinterpreted as strong rarity evidence without representation checks and orthogonal validation.</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The central finding is not that ClinVar P/LP variants are usually rare; that is expected. The stronger biological claim is that clinical genomics cannot treat severe annotation as a shield against population evidence. Frequency discordance was not a missense-only phenomenon: it appeared systematically among frameshift, stop-gained, and splice-labeled P/LP assertions across multiple genes, persisted after excluding canonical recessive arrhythmia genes, and remained visible in externally constrained genes. LOF annotations are therefore not sufficient to override population-frequency contradictions; they identify a mechanism hypothesis that still has to be reconciled with ancestry, AC, penetrance, inheritance mode, transcript context, and review strength.</w:t>
      </w:r>
    </w:p>
    <w:p>
      <w:r>
        <w:t>This is the problem VITAL operationalizes. Global AF detected only 13 arrhythmia variants above 1e-5, whereas popmax/global screening detected 115, and nearly one-third of variants with complete popmax data were globally rare but population-enriched. At the same time, more than 80% of variants lacked usable exact AF evidence, and indels/duplications were disproportionately affected. Frequency workflows therefore fail in two directions: they miss ancestry-specific frequency contradictions and they can overinterpret absence for poorly represented variant classes.</w:t>
      </w:r>
    </w:p>
    <w:p>
      <w:r>
        <w:t>VITAL's contribution is to make this tension inspectable without turning it into an automatic classification decision. The framework compressed 115 naive AF alerts into 3 red-priority cases, removing 112 urgent review triggers while preserving component-level explanations. In policy terms, this is conservative clinical decision support: explainable, auditable, and designed to preserve clinician oversight. A red-priority label means "review now," not "algorithm already benign."</w:t>
      </w:r>
    </w:p>
    <w:p>
      <w:r>
        <w:t>The biological contrast layer is what makes the red queue memorable rather than merely small. SCN5A is not just an AF outlier; it is a fragile haplotype/drug-response assertion with strong AFR enrichment. TRDN shows why LOF is not automatically incompatible with population frequency when the disease model is recessive/biallelic and gnomAD LOEUF does not indicate LOF constraint. KCNH2 is the honest borderline case: a splice assertion in a constrained dominant LQTS gene, but one with sparse allele-specific evidence and weight sensitivity. These three examples show that VITAL is organizing biological disagreement, not merely filtering rows. The expert-panel comparator provides an important guardrail for this interpretation: curated P/LP assertions can have frequency tension and should remain visible, but VITAL did not convert any expert-panel record into a red-priority downgrade queue.</w:t>
      </w:r>
    </w:p>
    <w:p>
      <w:r>
        <w:t>Historical and external audits support the same operating profile. Red-priority is intentionally sparse, high-specificity, and low-recall. That is a feature of a review-prioritization framework for frequency-assertion tension, not a flaw of a prediction model, because the goal is to reduce false-positive review burden rather than identify every future ClinVar label change. Post-hoc calibration sharpened this distinction: a score near 70 maps to approximately 50% expanded-instability probability but only about 3% strict-downgrade probability in the historical 3,000-variant set. Weight and AC sensitivity further show that the red-priority queue is small and largely stable, while KCNH2 remains threshold-adjacent and should be communicated as a review signal rather than a stable automated call.</w:t>
      </w:r>
    </w:p>
    <w:p>
      <w:r>
        <w:t>The time-series audit is consistent with the intended scope of the framework. VITAL is not designed as a general instability detector for ClinVar assertions, but as a targeted prioritization tool for variants under population-frequency, review, and context discordance. The absence of VITAL-red signals among transient P/LP assertions therefore reflects specificity rather than failure, indicating that many transient classifications arise from mechanisms outside the frequency-function tension space. From a clinical workflow perspective, this selectivity is desirable: a prioritization system that flags all transient assertions would recreate the same review burden that it is intended to reduce.</w:t>
      </w:r>
    </w:p>
    <w:p>
      <w:r>
        <w:t>The next validation layer should use orthogonal sources of truth rather than waiting for rare strict downgrades to accumulate. The highest-yield design is to assemble curated sets from ClinGen/expert-panel downgrade rationales, LOVD or ClinGen Variant Curation Interface records with documented evidence changes, and functional assays or MAVE datasets for cardiac genes where available. These sources would test whether high VITAL scores coincide with the mechanism of reclassification or with frequency-function discordance, rather than merely with aggregate ClinVar label drift. Multi-year ClinVar time series from 2019-2026 could also be analyzed as survival data, asking whether high-tension variants lose stable P/LP status earlier than low-tension variants. These analyses are future work; they are not required for the current burden-reduction claim.</w:t>
      </w:r>
    </w:p>
    <w:p>
      <w:r>
        <w:t>Finally, the KCNH2 duplication analysis illustrates why representation-aware interpretation matters. KCNH2's overall non-overlap rate is not unique when compared with SCN5A, but its duplication burden explains much of the statistical excess. GC content, repeats, submission date, and genome data do not resolve mechanism. The practical conclusion is still clear: absence of a KCNH2 duplication from gnomAD should not be treated as strong rarity evidence without orthogonal validation.</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The main limitations are practical rather than cosmetic. VITAL is a review-prioritization framework, not a clinical truth model: red calls should trigger expert review, not automatic reclassification. It does not directly encode penetrance, phase, zygosity, transcript-specific rescue, phenotype match, segregation, functional assays, MAVE scores, medication response, or private laboratory evidence. Disease mechanism still matters; recessive carrier states, founder alleles, incomplete penetrance, mitochondrial mechanisms, and pharmacogenomic susceptibility can all change how frequency tension should be interpreted.</w:t>
      </w:r>
    </w:p>
    <w:p>
      <w:r>
        <w:t>The primary score is expert-specified by design rather than learned. Weight-profile, one-weight-at-a-time, and restricted weight-consistency audits showed that the queue is not driven by arbitrary single-weight choices, but they do not make VITAL a trained classifier or prove optimal weights. KCNH2 remained unstable in 3/5 alternative profiles, which is expected for threshold-adjacent cases and should be communicated as a review signal rather than a stable automated call. We did not fit component weights to outcome data because available endpoints are proxy-based, event counts are limited, and optimization would increase overfitting risk while reducing interpretability. Future disease-specific deployments should therefore recalibrate weights, AC gates, and thresholds against local disease architecture before prospective use. The workflow-concordance benchmark is also proxy-labeled and partly circular because weak review support and AC-supported frequency evidence help define both the benchmark positives and the red-priority gate; conventional diagnostic-performance summaries should therefore be read only as workflow-burden diagnostics, not clinical accuracy.</w:t>
      </w:r>
    </w:p>
    <w:p>
      <w:r>
        <w:t>Historical audits are underpowered by design. With n=3 red-priority calls, even a true 20% strict-event rate would yield only 48.8% probability of observing at least one event; against a broader 6.8% background rate, detecting enrichment at alpha=0.05 would require at least 2/3 events and has only 10.4% power if the true red-event rate is 20%. Even in the 3,000-variant cross-disease sample, red-priority calls remained sparse and strict downgrade recall was low. The expanded instability endpoint includes soft database changes, including review-status or aggregate-text changes, and should be interpreted as curation activity rather than clinical downgrade. Release-to-release red-queue stability is based on only two freezes and should be tracked prospectively as retained, gained, and lost calls at each database update.</w:t>
      </w:r>
    </w:p>
    <w:p>
      <w:r>
        <w:t>External panels are portability stress tests, not sensitivity analyses. The BRCA/MMR/APC comparator is descriptive rather than a clean negative control because cancer-predisposition genes have founder effects and incomplete penetrance. The expert-panel comparator is a curated stability layer, not an external gold standard for benignity. LOF subtype annotation was derived from ClinVar/HGVS strings and does not replace transcript-aware consequence annotation, NMD prediction, exon/domain context, or curated functional assays. Therefore, the severe-annotation claim should be read narrowly: severe annotation is not sufficient to override population-frequency contradictions, not that LOF variants are commonly benign. The KCNH2 duplication result is statistical rather than mechanistic and is not used as a clinical recommendation; duplications account for much of the non-overlap signal, but the underlying cause remains unresolved. Finally, the data freeze was April 21, 2026; all red-priority variants should be rechecked against live ClinVar before publication, clinical reporting, or patient-facing decisions.</w:t>
      </w:r>
    </w:p>
    <w:p>
      <w:pPr>
        <w:pStyle w:val="Heading1"/>
      </w:pPr>
      <w:r>
        <w:t>Clinical and research implications</w:t>
      </w:r>
    </w:p>
    <w:p>
      <w:r>
        <w:t>These results support several practical recommendations for clinical genomics workflows:</w:t>
      </w:r>
    </w:p>
    <w:p>
      <w:pPr>
        <w:pStyle w:val="ListNumber"/>
      </w:pPr>
      <w:r>
        <w:t>Use ancestry-aware frequency thresholds. Popmax identifies frequency tension that global AF misses.</w:t>
      </w:r>
    </w:p>
    <w:p>
      <w:pPr>
        <w:pStyle w:val="ListNumber"/>
      </w:pPr>
      <w:r>
        <w:t>Require AC support before acting on frequency contradictions. AC &gt;=20 is not the only possible threshold, but it prevents overreaction to one- or two-allele observations.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Red-priority should initiate expert re-review, not automatically assign benignity.</w:t>
      </w:r>
    </w:p>
    <w:p>
      <w:pPr>
        <w:pStyle w:val="ListNumber"/>
      </w:pPr>
      <w:r>
        <w:t>Add inheritance-aware routing to the review queue. Dominant/high-penetrance calls, recessive carrier-frequency signals, founder or low-penetrance alleles, pharmacogenomic susceptibility assertions, and unknown-mechanism variants should not be interpreted through the same frequency lens. VITAL identifies tension; the review workflow should route that tension through the appropriate disease-mechanism pathway.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The current implementation is intended for clinical laboratories or expert groups with at least part-time bioinformatics support, not for ad hoc single-variant use by an individual clinician.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Implementation requirement</w:t>
            </w:r>
          </w:p>
        </w:tc>
        <w:tc>
          <w:tcPr>
            <w:tcW w:type="dxa" w:w="5184"/>
            <w:vAlign w:val="top"/>
            <w:shd w:fill="D9EAF7"/>
          </w:tcPr>
          <w:p>
            <w:pPr>
              <w:jc w:val="left"/>
            </w:pPr>
            <w:r/>
            <w:r>
              <w:rPr>
                <w:b/>
                <w:sz w:val="16"/>
              </w:rPr>
              <w:t>Current status</w:t>
            </w:r>
          </w:p>
        </w:tc>
      </w:tr>
      <w:tr>
        <w:tc>
          <w:tcPr>
            <w:tcW w:type="dxa" w:w="5184"/>
            <w:vAlign w:val="top"/>
          </w:tcPr>
          <w:p>
            <w:pPr>
              <w:jc w:val="left"/>
            </w:pPr>
            <w:r/>
            <w:r>
              <w:rPr>
                <w:b w:val="0"/>
                <w:sz w:val="16"/>
              </w:rPr>
              <w:t>User profile</w:t>
            </w:r>
          </w:p>
        </w:tc>
        <w:tc>
          <w:tcPr>
            <w:tcW w:type="dxa" w:w="5184"/>
            <w:vAlign w:val="top"/>
          </w:tcPr>
          <w:p>
            <w:pPr>
              <w:jc w:val="left"/>
            </w:pPr>
            <w:r/>
            <w:r>
              <w:rPr>
                <w:b w:val="0"/>
                <w:sz w:val="16"/>
              </w:rPr>
              <w:t>Clinical laboratory, variant curation team, or expert panel with bioinformatics support</w:t>
            </w:r>
          </w:p>
        </w:tc>
      </w:tr>
      <w:tr>
        <w:tc>
          <w:tcPr>
            <w:tcW w:type="dxa" w:w="5184"/>
            <w:vAlign w:val="top"/>
          </w:tcPr>
          <w:p>
            <w:pPr>
              <w:jc w:val="left"/>
            </w:pPr>
            <w:r/>
            <w:r>
              <w:rPr>
                <w:b w:val="0"/>
                <w:sz w:val="16"/>
              </w:rPr>
              <w:t>Runtime</w:t>
            </w:r>
          </w:p>
        </w:tc>
        <w:tc>
          <w:tcPr>
            <w:tcW w:type="dxa" w:w="5184"/>
            <w:vAlign w:val="top"/>
          </w:tcPr>
          <w:p>
            <w:pPr>
              <w:jc w:val="left"/>
            </w:pPr>
            <w:r/>
            <w:r>
              <w:rPr>
                <w:b w:val="0"/>
                <w:sz w:val="16"/>
              </w:rPr>
              <w:t>Python command-line workflow using cached CSV/TSV intermediates</w:t>
            </w:r>
          </w:p>
        </w:tc>
      </w:tr>
      <w:tr>
        <w:tc>
          <w:tcPr>
            <w:tcW w:type="dxa" w:w="5184"/>
            <w:vAlign w:val="top"/>
          </w:tcPr>
          <w:p>
            <w:pPr>
              <w:jc w:val="left"/>
            </w:pPr>
            <w:r/>
            <w:r>
              <w:rPr>
                <w:b w:val="0"/>
                <w:sz w:val="16"/>
              </w:rPr>
              <w:t>First run</w:t>
            </w:r>
          </w:p>
        </w:tc>
        <w:tc>
          <w:tcPr>
            <w:tcW w:type="dxa" w:w="5184"/>
            <w:vAlign w:val="top"/>
          </w:tcPr>
          <w:p>
            <w:pPr>
              <w:jc w:val="left"/>
            </w:pPr>
            <w:r/>
            <w:r>
              <w:rPr>
                <w:b w:val="0"/>
                <w:sz w:val="16"/>
              </w:rPr>
              <w:t>Hours when ClinVar/gnomAD/API acquisition is required; minutes for cached reruns and demo scoring</w:t>
            </w:r>
          </w:p>
        </w:tc>
      </w:tr>
      <w:tr>
        <w:tc>
          <w:tcPr>
            <w:tcW w:type="dxa" w:w="5184"/>
            <w:vAlign w:val="top"/>
          </w:tcPr>
          <w:p>
            <w:pPr>
              <w:jc w:val="left"/>
            </w:pPr>
            <w:r/>
            <w:r>
              <w:rPr>
                <w:b w:val="0"/>
                <w:sz w:val="16"/>
              </w:rPr>
              <w:t>Offline reproducibility</w:t>
            </w:r>
          </w:p>
        </w:tc>
        <w:tc>
          <w:tcPr>
            <w:tcW w:type="dxa" w:w="5184"/>
            <w:vAlign w:val="top"/>
          </w:tcPr>
          <w:p>
            <w:pPr>
              <w:jc w:val="left"/>
            </w:pPr>
            <w:r/>
            <w:r>
              <w:rPr>
                <w:b w:val="0"/>
                <w:sz w:val="16"/>
              </w:rPr>
              <w:t>Supported for downstream scoring, figures, supplementary tables, and manuscript generation from committed caches</w:t>
            </w:r>
          </w:p>
        </w:tc>
      </w:tr>
      <w:tr>
        <w:tc>
          <w:tcPr>
            <w:tcW w:type="dxa" w:w="5184"/>
            <w:vAlign w:val="top"/>
          </w:tcPr>
          <w:p>
            <w:pPr>
              <w:jc w:val="left"/>
            </w:pPr>
            <w:r/>
            <w:r>
              <w:rPr>
                <w:b w:val="0"/>
                <w:sz w:val="16"/>
              </w:rPr>
              <w:t>Docker/container</w:t>
            </w:r>
          </w:p>
        </w:tc>
        <w:tc>
          <w:tcPr>
            <w:tcW w:type="dxa" w:w="5184"/>
            <w:vAlign w:val="top"/>
          </w:tcPr>
          <w:p>
            <w:pPr>
              <w:jc w:val="left"/>
            </w:pPr>
            <w:r/>
            <w:r>
              <w:rPr>
                <w:b w:val="0"/>
                <w:sz w:val="16"/>
              </w:rPr>
              <w:t>Minimal Dockerfile provided for cached/demo analyses; full raw-data acquisition still depends on external services and bulky inputs</w:t>
            </w:r>
          </w:p>
        </w:tc>
      </w:tr>
      <w:tr>
        <w:tc>
          <w:tcPr>
            <w:tcW w:type="dxa" w:w="5184"/>
            <w:vAlign w:val="top"/>
          </w:tcPr>
          <w:p>
            <w:pPr>
              <w:jc w:val="left"/>
            </w:pPr>
            <w:r/>
            <w:r>
              <w:rPr>
                <w:b w:val="0"/>
                <w:sz w:val="16"/>
              </w:rPr>
              <w:t>Single-variant usability</w:t>
            </w:r>
          </w:p>
        </w:tc>
        <w:tc>
          <w:tcPr>
            <w:tcW w:type="dxa" w:w="5184"/>
            <w:vAlign w:val="top"/>
          </w:tcPr>
          <w:p>
            <w:pPr>
              <w:jc w:val="left"/>
            </w:pPr>
            <w:r/>
            <w:r>
              <w:rPr>
                <w:b w:val="0"/>
                <w:sz w:val="16"/>
              </w:rPr>
              <w:t>Colab demo supports cached VCV examples in approximately two minutes; production use would need a web interface or plugin</w:t>
            </w:r>
          </w:p>
        </w:tc>
      </w:tr>
    </w:tbl>
    <w:p/>
    <w:p>
      <w:r>
        <w:t>The laboratory action table is intentionally operational:</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VITAL band</w:t>
            </w:r>
          </w:p>
        </w:tc>
        <w:tc>
          <w:tcPr>
            <w:tcW w:type="dxa" w:w="2074"/>
            <w:vAlign w:val="top"/>
            <w:shd w:fill="D9EAF7"/>
          </w:tcPr>
          <w:p>
            <w:pPr>
              <w:jc w:val="left"/>
            </w:pPr>
            <w:r/>
            <w:r>
              <w:rPr>
                <w:b/>
                <w:sz w:val="16"/>
              </w:rPr>
              <w:t>Recommended action</w:t>
            </w:r>
          </w:p>
        </w:tc>
        <w:tc>
          <w:tcPr>
            <w:tcW w:type="dxa" w:w="2074"/>
            <w:vAlign w:val="top"/>
            <w:shd w:fill="D9EAF7"/>
          </w:tcPr>
          <w:p>
            <w:pPr>
              <w:jc w:val="left"/>
            </w:pPr>
            <w:r/>
            <w:r>
              <w:rPr>
                <w:b/>
                <w:sz w:val="16"/>
              </w:rPr>
              <w:t>Reviewer</w:t>
            </w:r>
          </w:p>
        </w:tc>
        <w:tc>
          <w:tcPr>
            <w:tcW w:type="dxa" w:w="2074"/>
            <w:vAlign w:val="top"/>
            <w:shd w:fill="D9EAF7"/>
          </w:tcPr>
          <w:p>
            <w:pPr>
              <w:jc w:val="left"/>
            </w:pPr>
            <w:r/>
            <w:r>
              <w:rPr>
                <w:b/>
                <w:sz w:val="16"/>
              </w:rPr>
              <w:t>Timing</w:t>
            </w:r>
          </w:p>
        </w:tc>
        <w:tc>
          <w:tcPr>
            <w:tcW w:type="dxa" w:w="2074"/>
            <w:vAlign w:val="top"/>
            <w:shd w:fill="D9EAF7"/>
          </w:tcPr>
          <w:p>
            <w:pPr>
              <w:jc w:val="left"/>
            </w:pPr>
            <w:r/>
            <w:r>
              <w:rPr>
                <w:b/>
                <w:sz w:val="16"/>
              </w:rPr>
              <w:t>Required documentation</w:t>
            </w:r>
          </w:p>
        </w:tc>
      </w:tr>
      <w:tr>
        <w:tc>
          <w:tcPr>
            <w:tcW w:type="dxa" w:w="2074"/>
            <w:vAlign w:val="top"/>
          </w:tcPr>
          <w:p>
            <w:pPr>
              <w:jc w:val="left"/>
            </w:pPr>
            <w:r/>
            <w:r>
              <w:rPr>
                <w:b w:val="0"/>
                <w:sz w:val="16"/>
              </w:rPr>
              <w:t>Red-priority</w:t>
            </w:r>
          </w:p>
        </w:tc>
        <w:tc>
          <w:tcPr>
            <w:tcW w:type="dxa" w:w="2074"/>
            <w:vAlign w:val="top"/>
          </w:tcPr>
          <w:p>
            <w:pPr>
              <w:jc w:val="left"/>
            </w:pPr>
            <w:r/>
            <w:r>
              <w:rPr>
                <w:b w:val="0"/>
                <w:sz w:val="16"/>
              </w:rPr>
              <w:t>Immediate expert re-review; verify live ClinVar/gnomAD, phenotype, inheritance, literature, and local evidence</w:t>
            </w:r>
          </w:p>
        </w:tc>
        <w:tc>
          <w:tcPr>
            <w:tcW w:type="dxa" w:w="2074"/>
            <w:vAlign w:val="top"/>
          </w:tcPr>
          <w:p>
            <w:pPr>
              <w:jc w:val="left"/>
            </w:pPr>
            <w:r/>
            <w:r>
              <w:rPr>
                <w:b w:val="0"/>
                <w:sz w:val="16"/>
              </w:rPr>
              <w:t>Variant scientist prepares; laboratory director signs; disease expert/panel as needed</w:t>
            </w:r>
          </w:p>
        </w:tc>
        <w:tc>
          <w:tcPr>
            <w:tcW w:type="dxa" w:w="2074"/>
            <w:vAlign w:val="top"/>
          </w:tcPr>
          <w:p>
            <w:pPr>
              <w:jc w:val="left"/>
            </w:pPr>
            <w:r/>
            <w:r>
              <w:rPr>
                <w:b w:val="0"/>
                <w:sz w:val="16"/>
              </w:rPr>
              <w:t>Next review cycle or about 30 days for patient-facing assertions</w:t>
            </w:r>
          </w:p>
        </w:tc>
        <w:tc>
          <w:tcPr>
            <w:tcW w:type="dxa" w:w="2074"/>
            <w:vAlign w:val="top"/>
          </w:tcPr>
          <w:p>
            <w:pPr>
              <w:jc w:val="left"/>
            </w:pPr>
            <w:r/>
            <w:r>
              <w:rPr>
                <w:b w:val="0"/>
                <w:sz w:val="16"/>
              </w:rPr>
              <w:t>Component breakdown, live database check date, evidence reviewed, ACMG/ClinGen criteria affected, final disposition</w:t>
            </w:r>
          </w:p>
        </w:tc>
      </w:tr>
      <w:tr>
        <w:tc>
          <w:tcPr>
            <w:tcW w:type="dxa" w:w="2074"/>
            <w:vAlign w:val="top"/>
          </w:tcPr>
          <w:p>
            <w:pPr>
              <w:jc w:val="left"/>
            </w:pPr>
            <w:r/>
            <w:r>
              <w:rPr>
                <w:b w:val="0"/>
                <w:sz w:val="16"/>
              </w:rPr>
              <w:t>Orange high-tension</w:t>
            </w:r>
          </w:p>
        </w:tc>
        <w:tc>
          <w:tcPr>
            <w:tcW w:type="dxa" w:w="2074"/>
            <w:vAlign w:val="top"/>
          </w:tcPr>
          <w:p>
            <w:pPr>
              <w:jc w:val="left"/>
            </w:pPr>
            <w:r/>
            <w:r>
              <w:rPr>
                <w:b w:val="0"/>
                <w:sz w:val="16"/>
              </w:rPr>
              <w:t>Scheduled batch review; escalate if AC-supported, high-actionability gene, weak review, or phenotype/literature mismatch is present</w:t>
            </w:r>
          </w:p>
        </w:tc>
        <w:tc>
          <w:tcPr>
            <w:tcW w:type="dxa" w:w="2074"/>
            <w:vAlign w:val="top"/>
          </w:tcPr>
          <w:p>
            <w:pPr>
              <w:jc w:val="left"/>
            </w:pPr>
            <w:r/>
            <w:r>
              <w:rPr>
                <w:b w:val="0"/>
                <w:sz w:val="16"/>
              </w:rPr>
              <w:t>Variant scientist or curation team</w:t>
            </w:r>
          </w:p>
        </w:tc>
        <w:tc>
          <w:tcPr>
            <w:tcW w:type="dxa" w:w="2074"/>
            <w:vAlign w:val="top"/>
          </w:tcPr>
          <w:p>
            <w:pPr>
              <w:jc w:val="left"/>
            </w:pPr>
            <w:r/>
            <w:r>
              <w:rPr>
                <w:b w:val="0"/>
                <w:sz w:val="16"/>
              </w:rPr>
              <w:t>Monthly or quarterly batch review</w:t>
            </w:r>
          </w:p>
        </w:tc>
        <w:tc>
          <w:tcPr>
            <w:tcW w:type="dxa" w:w="2074"/>
            <w:vAlign w:val="top"/>
          </w:tcPr>
          <w:p>
            <w:pPr>
              <w:jc w:val="left"/>
            </w:pPr>
            <w:r/>
            <w:r>
              <w:rPr>
                <w:b w:val="0"/>
                <w:sz w:val="16"/>
              </w:rPr>
              <w:t>Reason for escalation or monitoring, changed AF/AC/review status, next review date</w:t>
            </w:r>
          </w:p>
        </w:tc>
      </w:tr>
      <w:tr>
        <w:tc>
          <w:tcPr>
            <w:tcW w:type="dxa" w:w="2074"/>
            <w:vAlign w:val="top"/>
          </w:tcPr>
          <w:p>
            <w:pPr>
              <w:jc w:val="left"/>
            </w:pPr>
            <w:r/>
            <w:r>
              <w:rPr>
                <w:b w:val="0"/>
                <w:sz w:val="16"/>
              </w:rPr>
              <w:t>Yellow watchlist</w:t>
            </w:r>
          </w:p>
        </w:tc>
        <w:tc>
          <w:tcPr>
            <w:tcW w:type="dxa" w:w="2074"/>
            <w:vAlign w:val="top"/>
          </w:tcPr>
          <w:p>
            <w:pPr>
              <w:jc w:val="left"/>
            </w:pPr>
            <w:r/>
            <w:r>
              <w:rPr>
                <w:b w:val="0"/>
                <w:sz w:val="16"/>
              </w:rPr>
              <w:t>Monitor at database refresh; no immediate classification action</w:t>
            </w:r>
          </w:p>
        </w:tc>
        <w:tc>
          <w:tcPr>
            <w:tcW w:type="dxa" w:w="2074"/>
            <w:vAlign w:val="top"/>
          </w:tcPr>
          <w:p>
            <w:pPr>
              <w:jc w:val="left"/>
            </w:pPr>
            <w:r/>
            <w:r>
              <w:rPr>
                <w:b w:val="0"/>
                <w:sz w:val="16"/>
              </w:rPr>
              <w:t>Bioinformatics/curation queue</w:t>
            </w:r>
          </w:p>
        </w:tc>
        <w:tc>
          <w:tcPr>
            <w:tcW w:type="dxa" w:w="2074"/>
            <w:vAlign w:val="top"/>
          </w:tcPr>
          <w:p>
            <w:pPr>
              <w:jc w:val="left"/>
            </w:pPr>
            <w:r/>
            <w:r>
              <w:rPr>
                <w:b w:val="0"/>
                <w:sz w:val="16"/>
              </w:rPr>
              <w:t>Routine ClinVar/gnomAD release cycle</w:t>
            </w:r>
          </w:p>
        </w:tc>
        <w:tc>
          <w:tcPr>
            <w:tcW w:type="dxa" w:w="2074"/>
            <w:vAlign w:val="top"/>
          </w:tcPr>
          <w:p>
            <w:pPr>
              <w:jc w:val="left"/>
            </w:pPr>
            <w:r/>
            <w:r>
              <w:rPr>
                <w:b w:val="0"/>
                <w:sz w:val="16"/>
              </w:rPr>
              <w:t>Band and score trend, reason not escalated</w:t>
            </w:r>
          </w:p>
        </w:tc>
      </w:tr>
      <w:tr>
        <w:tc>
          <w:tcPr>
            <w:tcW w:type="dxa" w:w="2074"/>
            <w:vAlign w:val="top"/>
          </w:tcPr>
          <w:p>
            <w:pPr>
              <w:jc w:val="left"/>
            </w:pPr>
            <w:r/>
            <w:r>
              <w:rPr>
                <w:b w:val="0"/>
                <w:sz w:val="16"/>
              </w:rPr>
              <w:t>Gray no-frequency evidence</w:t>
            </w:r>
          </w:p>
        </w:tc>
        <w:tc>
          <w:tcPr>
            <w:tcW w:type="dxa" w:w="2074"/>
            <w:vAlign w:val="top"/>
          </w:tcPr>
          <w:p>
            <w:pPr>
              <w:jc w:val="left"/>
            </w:pPr>
            <w:r/>
            <w:r>
              <w:rPr>
                <w:b w:val="0"/>
                <w:sz w:val="16"/>
              </w:rPr>
              <w:t>Representation-aware checks; orthogonal validation if complex allele could affect patient-facing decision</w:t>
            </w:r>
          </w:p>
        </w:tc>
        <w:tc>
          <w:tcPr>
            <w:tcW w:type="dxa" w:w="2074"/>
            <w:vAlign w:val="top"/>
          </w:tcPr>
          <w:p>
            <w:pPr>
              <w:jc w:val="left"/>
            </w:pPr>
            <w:r/>
            <w:r>
              <w:rPr>
                <w:b w:val="0"/>
                <w:sz w:val="16"/>
              </w:rPr>
              <w:t>Bioinformatician plus variant scientist</w:t>
            </w:r>
          </w:p>
        </w:tc>
        <w:tc>
          <w:tcPr>
            <w:tcW w:type="dxa" w:w="2074"/>
            <w:vAlign w:val="top"/>
          </w:tcPr>
          <w:p>
            <w:pPr>
              <w:jc w:val="left"/>
            </w:pPr>
            <w:r/>
            <w:r>
              <w:rPr>
                <w:b w:val="0"/>
                <w:sz w:val="16"/>
              </w:rPr>
              <w:t>Case-dependent; expedited for high-actionability genes</w:t>
            </w:r>
          </w:p>
        </w:tc>
        <w:tc>
          <w:tcPr>
            <w:tcW w:type="dxa" w:w="2074"/>
            <w:vAlign w:val="top"/>
          </w:tcPr>
          <w:p>
            <w:pPr>
              <w:jc w:val="left"/>
            </w:pPr>
            <w:r/>
            <w:r>
              <w:rPr>
                <w:b w:val="0"/>
                <w:sz w:val="16"/>
              </w:rPr>
              <w:t>Normalization/representation check, validation need, deferred queue status</w:t>
            </w:r>
          </w:p>
        </w:tc>
      </w:tr>
      <w:tr>
        <w:tc>
          <w:tcPr>
            <w:tcW w:type="dxa" w:w="2074"/>
            <w:vAlign w:val="top"/>
          </w:tcPr>
          <w:p>
            <w:pPr>
              <w:jc w:val="left"/>
            </w:pPr>
            <w:r/>
            <w:r>
              <w:rPr>
                <w:b w:val="0"/>
                <w:sz w:val="16"/>
              </w:rPr>
              <w:t>Green/blue</w:t>
            </w:r>
          </w:p>
        </w:tc>
        <w:tc>
          <w:tcPr>
            <w:tcW w:type="dxa" w:w="2074"/>
            <w:vAlign w:val="top"/>
          </w:tcPr>
          <w:p>
            <w:pPr>
              <w:jc w:val="left"/>
            </w:pPr>
            <w:r/>
            <w:r>
              <w:rPr>
                <w:b w:val="0"/>
                <w:sz w:val="16"/>
              </w:rPr>
              <w:t>Routine monitoring only</w:t>
            </w:r>
          </w:p>
        </w:tc>
        <w:tc>
          <w:tcPr>
            <w:tcW w:type="dxa" w:w="2074"/>
            <w:vAlign w:val="top"/>
          </w:tcPr>
          <w:p>
            <w:pPr>
              <w:jc w:val="left"/>
            </w:pPr>
            <w:r/>
            <w:r>
              <w:rPr>
                <w:b w:val="0"/>
                <w:sz w:val="16"/>
              </w:rPr>
              <w:t>Automated batch audit</w:t>
            </w:r>
          </w:p>
        </w:tc>
        <w:tc>
          <w:tcPr>
            <w:tcW w:type="dxa" w:w="2074"/>
            <w:vAlign w:val="top"/>
          </w:tcPr>
          <w:p>
            <w:pPr>
              <w:jc w:val="left"/>
            </w:pPr>
            <w:r/>
            <w:r>
              <w:rPr>
                <w:b w:val="0"/>
                <w:sz w:val="16"/>
              </w:rPr>
              <w:t>Routine release cycle</w:t>
            </w:r>
          </w:p>
        </w:tc>
        <w:tc>
          <w:tcPr>
            <w:tcW w:type="dxa" w:w="2074"/>
            <w:vAlign w:val="top"/>
          </w:tcPr>
          <w:p>
            <w:pPr>
              <w:jc w:val="left"/>
            </w:pPr>
            <w:r/>
            <w:r>
              <w:rPr>
                <w:b w:val="0"/>
                <w:sz w:val="16"/>
              </w:rPr>
              <w:t>No urgent action; retain audit trace</w:t>
            </w:r>
          </w:p>
        </w:tc>
      </w:tr>
    </w:tbl>
    <w:p/>
    <w:p>
      <w:r>
        <w:t>To make the framework immediately inspectable, we also provide a lightweight Google Colab demonstration that scores a single cached VCV record, a small CSV batch, or a demo top-suspicious table without calling ClinVar or gnomAD APIs. This Colab is a reproducibility and usability aid, not a clinical deployment environment. Routine single-variant use would be better served by a lightweight web interface or plugin-style integration into existing interpretation environments such as Franklin or Alamut, showing the one-line human summary, component breakdown, ClinVar/gnomAD/PubMed links, and local laboratory evidence fields.</w:t>
      </w:r>
    </w:p>
    <w:p>
      <w:pPr>
        <w:pStyle w:val="Heading1"/>
      </w:pPr>
      <w:r>
        <w:t>Conclusion</w:t>
      </w:r>
    </w:p>
    <w:p>
      <w:r>
        <w:t>Clinically cataloged P/LP arrhythmia variants are strongly concentrated at ultra-rare population frequencies, but severe annotation does not make an assertion immune to population-frequency contradiction. Frequency discordance appears across frameshift, stop-gained, and splice-labeled records, including outside canonical recessive arrhythmia genes. Popmax, AC, variant type, technical detectability, gene context, and ClinVar review strength all materially change which variants should be prioritized for re-review. VITAL formalizes these signals into an explainable 0-100 frequency-assertion tension score, identifies 3 red-priority arrhythmia assertions as of the April 21, 2026 data freeze, suppresses more than 100 naive AF alerts, and preserves explicit no-frequency-evidence states for variants that should not be treated as AF=0. Independent current cross-disease burden audit across 3,000 non-arrhythmia ClinVar P/LP variants shows the same workflow profile: 332 naive AF alerts compress to 3 red-priority calls, while 204 expert-panel P/LP assertions produce no red-priority calls despite visible frequency tension in some records. Historical cross-disease audits remain high-specificity and low-recall, with 13 red-priority calls among 3,000 baseline 2023 variants and only 1/23 strict future downgrade events captured; VITAL is therefore not a sensitive predictor of strict future reclassification. The intended clinical value is reducing false-positive variant re-evaluation burden without replacing clinician or laboratory decision-making. In the intended real-world workflow, VITAL helps laboratories decide what to inspect first, not what to believe automatically. Its value lies in compressing noisy review burden into a shorter and more interpretable queue while preserving human responsibility for final classification. KCNH2 should be interpreted as a borderline, weight-sensitive re-review signal rather than as an anchor case.</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ClinVar bulk variant_summary snapshots, including archived January 2023, January 2024, January 2025, and April 2026 files for the time-series audit.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Colab notebook is provided for rapid inspection of cached VITAL outputs using one VCV ID or a small CSV input. A minimal Docker/containerized environment is provided for cached/demo analyses so that package installation and the Python runtime can be reproduced in addition to the data freeze.</w:t>
      </w:r>
    </w:p>
    <w:p>
      <w:r>
        <w:t>Key output groups include per-variant VITAL scores and component explanations, method-comparison tables, threshold and AC sensitivity sweeps, weight-sensitivity tables, semi-empirical calibration outputs, historical validation outputs, external-panel stress tests, 3,000-variant cross-disease validation outputs, ClinVar time-series trajectory outputs, severe-annotation discordance audits, expert-panel comparator outputs, and generated figures. The most central files are arrhythmia_vital_scores.csv, arrhythmia_vital_component_breakdown.csv, arrhythmia_vital_method_comparison.csv, arrhythmia_vital_pathogenicity_tension_continuum.csv, arrhythmia_vital_one_weight_sensitivity.csv, vital_severe_annotation_frequency_discordance_summary.csv, vital_severe_annotation_gene_spread.csv, vital_expert_panel_truth_validation.csv, vital_external_truth_claim_tests.csv, vital_cross_disease_3000_restricted_calibration_model_metrics.csv, vital_cross_disease_3000_restricted_calibration_feature_dominance.csv, vital_red_manual_review_live_check.csv, vital_cross_disease_3000_cross_disease_validation_summary.csv, vital_cross_disease_3000_2023_01_to_current_vital_historical_enrichment.csv, vital_cross_disease_3000_clinvar_time_series_wide.csv, arrhythmia_current_red_clinvar_time_series_red_queue.csv, and arrhythmia_intermediate_only_2024_2025_vital_scores.csv.</w:t>
      </w:r>
    </w:p>
    <w:p>
      <w:r>
        <w:t>The biological contrast layer is provided as data/processed/arrhythmia_gene_biological_context.csv, data/processed/arrhythmia_vital_biological_contrast_cases.csv, data/processed/arrhythmia_vital_biological_contrast_summary.csv, and figures/vital_biological_contrast_cases.png. The severe-annotation and curated-comparator extension is provided as data/processed/vital_severe_annotation_frequency_discordance_summary.csv, data/processed/vital_severe_annotation_gene_spread.csv, data/processed/vital_expert_panel_truth_validation.csv, data/processed/vital_expert_panel_high_tension_examples.csv, data/processed/vital_external_truth_claim_tests.csv, figures/vital_external_truth_biological_claim.png, and supplementary_tables/Supplementary_Table_S22_external_truth_biological_claim.tsv. These files are generated by src/run_vital_biological_contrast.py and src/run_vital_external_truth_claim.py from gnomAD v4.1 constraint metrics, Human Protein Atlas v23 tissue-consensus expression downloads, VITAL score tables, and the 3,000-variant cross-disease comparator; raw external downloads are treated as reproducible inputs and are not committed as bulky repository artifacts.</w:t>
      </w:r>
    </w:p>
    <w:p>
      <w:r>
        <w:t>Usability files include run_vital.py, notebooks/vital_demo_colab.ipynb, data/examples/sample_variants.csv, and data/processed/vital_top_suspicious.csv.</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red-priority variants; one-weight-at-a-time sensitivity is provided in arrhythmia_vital_one_weight_sensitivity.csv.</w:t>
      </w:r>
    </w:p>
    <w:p>
      <w:pPr>
        <w:pStyle w:val="ListBullet"/>
      </w:pPr>
      <w:r>
        <w:t>Supplementary Table S14: independent 3,000-variant cross-disease current and historical validation summary.</w:t>
      </w:r>
    </w:p>
    <w:p>
      <w:pPr>
        <w:pStyle w:val="ListBullet"/>
      </w:pPr>
      <w:r>
        <w:t>Supplementary Table S15: independent 3,000-variant cross-disease current and historical high-score/red outliers.</w:t>
      </w:r>
    </w:p>
    <w:p>
      <w:pPr>
        <w:pStyle w:val="ListBullet"/>
      </w:pPr>
      <w:r>
        <w:t>Supplementary Table S16: biological contrast case table linking red-priority variants to LOEUF, heart expression, expected mechanism, and case-level interpretation.</w:t>
      </w:r>
    </w:p>
    <w:p>
      <w:pPr>
        <w:pStyle w:val="ListBullet"/>
      </w:pPr>
      <w:r>
        <w:t>Supplementary Table S17: post-hoc VITAL score calibration mapping for strict, broad, and expanded historical endpoints.</w:t>
      </w:r>
    </w:p>
    <w:p>
      <w:pPr>
        <w:pStyle w:val="ListBullet"/>
      </w:pPr>
      <w:r>
        <w:t>Supplementary Table S18: ClinVar four-snapshot time-series trajectories.</w:t>
      </w:r>
    </w:p>
    <w:p>
      <w:pPr>
        <w:pStyle w:val="ListBullet"/>
      </w:pPr>
      <w:r>
        <w:t>Supplementary Table S19: ClinVar four-snapshot red-priority trajectories.</w:t>
      </w:r>
    </w:p>
    <w:p>
      <w:pPr>
        <w:pStyle w:val="ListBullet"/>
      </w:pPr>
      <w:r>
        <w:t>Supplementary Table S20: ClinVar four-snapshot flipper and transient-instability trajectories.</w:t>
      </w:r>
    </w:p>
    <w:p>
      <w:pPr>
        <w:pStyle w:val="ListBullet"/>
      </w:pPr>
      <w:r>
        <w:t>Supplementary Table S21: restricted VITAL weight-consistency audit, including review-only, tension-only, and combined diagnostic probes.</w:t>
      </w:r>
    </w:p>
    <w:p>
      <w:pPr>
        <w:pStyle w:val="ListBullet"/>
      </w:pPr>
      <w:r>
        <w:t>Supplementary Table S22: severe-annotation frequency discordance and expert-panel comparator, including LOF subtype summaries, recessive-gene exclusion, constrained-gene checks, and curated high-tension examples.</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red-priority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A7b. One-weight-at-a-time VITAL sensitivity</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4"/>
              </w:rPr>
              <w:t>component_varied</w:t>
            </w:r>
          </w:p>
        </w:tc>
        <w:tc>
          <w:tcPr>
            <w:tcW w:type="dxa" w:w="1728"/>
            <w:vAlign w:val="top"/>
            <w:shd w:fill="D9EAF7"/>
          </w:tcPr>
          <w:p>
            <w:pPr>
              <w:jc w:val="left"/>
            </w:pPr>
            <w:r/>
            <w:r>
              <w:rPr>
                <w:b/>
                <w:sz w:val="14"/>
              </w:rPr>
              <w:t>weight_multiplier</w:t>
            </w:r>
          </w:p>
        </w:tc>
        <w:tc>
          <w:tcPr>
            <w:tcW w:type="dxa" w:w="1728"/>
            <w:vAlign w:val="top"/>
            <w:shd w:fill="D9EAF7"/>
          </w:tcPr>
          <w:p>
            <w:pPr>
              <w:jc w:val="left"/>
            </w:pPr>
            <w:r/>
            <w:r>
              <w:rPr>
                <w:b/>
                <w:sz w:val="14"/>
              </w:rPr>
              <w:t>tested_weight</w:t>
            </w:r>
          </w:p>
        </w:tc>
        <w:tc>
          <w:tcPr>
            <w:tcW w:type="dxa" w:w="1728"/>
            <w:vAlign w:val="top"/>
            <w:shd w:fill="D9EAF7"/>
          </w:tcPr>
          <w:p>
            <w:pPr>
              <w:jc w:val="left"/>
            </w:pPr>
            <w:r/>
            <w:r>
              <w:rPr>
                <w:b/>
                <w:sz w:val="14"/>
              </w:rPr>
              <w:t>red_priority_count</w:t>
            </w:r>
          </w:p>
        </w:tc>
        <w:tc>
          <w:tcPr>
            <w:tcW w:type="dxa" w:w="1728"/>
            <w:vAlign w:val="top"/>
            <w:shd w:fill="D9EAF7"/>
          </w:tcPr>
          <w:p>
            <w:pPr>
              <w:jc w:val="left"/>
            </w:pPr>
            <w:r/>
            <w:r>
              <w:rPr>
                <w:b/>
                <w:sz w:val="14"/>
              </w:rPr>
              <w:t>red_priority_variants</w:t>
            </w:r>
          </w:p>
        </w:tc>
        <w:tc>
          <w:tcPr>
            <w:tcW w:type="dxa" w:w="1728"/>
            <w:vAlign w:val="top"/>
            <w:shd w:fill="D9EAF7"/>
          </w:tcPr>
          <w:p>
            <w:pPr>
              <w:jc w:val="left"/>
            </w:pPr>
            <w:r/>
            <w:r>
              <w:rPr>
                <w:b/>
                <w:sz w:val="14"/>
              </w:rPr>
              <w:t>sensitivity_note</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0.5</w:t>
            </w:r>
          </w:p>
        </w:tc>
        <w:tc>
          <w:tcPr>
            <w:tcW w:type="dxa" w:w="1728"/>
            <w:vAlign w:val="top"/>
          </w:tcPr>
          <w:p>
            <w:pPr>
              <w:jc w:val="left"/>
            </w:pPr>
            <w:r/>
            <w:r>
              <w:rPr>
                <w:b w:val="0"/>
                <w:sz w:val="14"/>
              </w:rPr>
              <w:t>22.5</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0.75</w:t>
            </w:r>
          </w:p>
        </w:tc>
        <w:tc>
          <w:tcPr>
            <w:tcW w:type="dxa" w:w="1728"/>
            <w:vAlign w:val="top"/>
          </w:tcPr>
          <w:p>
            <w:pPr>
              <w:jc w:val="left"/>
            </w:pPr>
            <w:r/>
            <w:r>
              <w:rPr>
                <w:b w:val="0"/>
                <w:sz w:val="14"/>
              </w:rPr>
              <w:t>33.8</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w:t>
            </w:r>
          </w:p>
        </w:tc>
        <w:tc>
          <w:tcPr>
            <w:tcW w:type="dxa" w:w="1728"/>
            <w:vAlign w:val="top"/>
          </w:tcPr>
          <w:p>
            <w:pPr>
              <w:jc w:val="left"/>
            </w:pPr>
            <w:r/>
            <w:r>
              <w:rPr>
                <w:b w:val="0"/>
                <w:sz w:val="14"/>
              </w:rPr>
              <w:t>45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1.25</w:t>
            </w:r>
          </w:p>
        </w:tc>
        <w:tc>
          <w:tcPr>
            <w:tcW w:type="dxa" w:w="1728"/>
            <w:vAlign w:val="top"/>
          </w:tcPr>
          <w:p>
            <w:pPr>
              <w:jc w:val="left"/>
            </w:pPr>
            <w:r/>
            <w:r>
              <w:rPr>
                <w:b w:val="0"/>
                <w:sz w:val="14"/>
              </w:rPr>
              <w:t>56.2</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1.5</w:t>
            </w:r>
          </w:p>
        </w:tc>
        <w:tc>
          <w:tcPr>
            <w:tcW w:type="dxa" w:w="1728"/>
            <w:vAlign w:val="top"/>
          </w:tcPr>
          <w:p>
            <w:pPr>
              <w:jc w:val="left"/>
            </w:pPr>
            <w:r/>
            <w:r>
              <w:rPr>
                <w:b w:val="0"/>
                <w:sz w:val="14"/>
              </w:rPr>
              <w:t>67.5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0.5</w:t>
            </w:r>
          </w:p>
        </w:tc>
        <w:tc>
          <w:tcPr>
            <w:tcW w:type="dxa" w:w="1728"/>
            <w:vAlign w:val="top"/>
          </w:tcPr>
          <w:p>
            <w:pPr>
              <w:jc w:val="left"/>
            </w:pPr>
            <w:r/>
            <w:r>
              <w:rPr>
                <w:b w:val="0"/>
                <w:sz w:val="14"/>
              </w:rPr>
              <w:t>10</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0.75</w:t>
            </w:r>
          </w:p>
        </w:tc>
        <w:tc>
          <w:tcPr>
            <w:tcW w:type="dxa" w:w="1728"/>
            <w:vAlign w:val="top"/>
          </w:tcPr>
          <w:p>
            <w:pPr>
              <w:jc w:val="left"/>
            </w:pPr>
            <w:r/>
            <w:r>
              <w:rPr>
                <w:b w:val="0"/>
                <w:sz w:val="14"/>
              </w:rPr>
              <w:t>15</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w:t>
            </w:r>
          </w:p>
        </w:tc>
        <w:tc>
          <w:tcPr>
            <w:tcW w:type="dxa" w:w="1728"/>
            <w:vAlign w:val="top"/>
          </w:tcPr>
          <w:p>
            <w:pPr>
              <w:jc w:val="left"/>
            </w:pPr>
            <w:r/>
            <w:r>
              <w:rPr>
                <w:b w:val="0"/>
                <w:sz w:val="14"/>
              </w:rPr>
              <w:t>20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1.25</w:t>
            </w:r>
          </w:p>
        </w:tc>
        <w:tc>
          <w:tcPr>
            <w:tcW w:type="dxa" w:w="1728"/>
            <w:vAlign w:val="top"/>
          </w:tcPr>
          <w:p>
            <w:pPr>
              <w:jc w:val="left"/>
            </w:pPr>
            <w:r/>
            <w:r>
              <w:rPr>
                <w:b w:val="0"/>
                <w:sz w:val="14"/>
              </w:rPr>
              <w:t>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1.5</w:t>
            </w:r>
          </w:p>
        </w:tc>
        <w:tc>
          <w:tcPr>
            <w:tcW w:type="dxa" w:w="1728"/>
            <w:vAlign w:val="top"/>
          </w:tcPr>
          <w:p>
            <w:pPr>
              <w:jc w:val="left"/>
            </w:pPr>
            <w:r/>
            <w:r>
              <w:rPr>
                <w:b w:val="0"/>
                <w:sz w:val="14"/>
              </w:rPr>
              <w:t>30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0.5</w:t>
            </w:r>
          </w:p>
        </w:tc>
        <w:tc>
          <w:tcPr>
            <w:tcW w:type="dxa" w:w="1728"/>
            <w:vAlign w:val="top"/>
          </w:tcPr>
          <w:p>
            <w:pPr>
              <w:jc w:val="left"/>
            </w:pPr>
            <w:r/>
            <w:r>
              <w:rPr>
                <w:b w:val="0"/>
                <w:sz w:val="14"/>
              </w:rPr>
              <w:t>3</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0.75</w:t>
            </w:r>
          </w:p>
        </w:tc>
        <w:tc>
          <w:tcPr>
            <w:tcW w:type="dxa" w:w="1728"/>
            <w:vAlign w:val="top"/>
          </w:tcPr>
          <w:p>
            <w:pPr>
              <w:jc w:val="left"/>
            </w:pPr>
            <w:r/>
            <w:r>
              <w:rPr>
                <w:b w:val="0"/>
                <w:sz w:val="14"/>
              </w:rPr>
              <w:t>4.5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w:t>
            </w:r>
          </w:p>
        </w:tc>
        <w:tc>
          <w:tcPr>
            <w:tcW w:type="dxa" w:w="1728"/>
            <w:vAlign w:val="top"/>
          </w:tcPr>
          <w:p>
            <w:pPr>
              <w:jc w:val="left"/>
            </w:pPr>
            <w:r/>
            <w:r>
              <w:rPr>
                <w:b w:val="0"/>
                <w:sz w:val="14"/>
              </w:rPr>
              <w:t>6</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1.25</w:t>
            </w:r>
          </w:p>
        </w:tc>
        <w:tc>
          <w:tcPr>
            <w:tcW w:type="dxa" w:w="1728"/>
            <w:vAlign w:val="top"/>
          </w:tcPr>
          <w:p>
            <w:pPr>
              <w:jc w:val="left"/>
            </w:pPr>
            <w:r/>
            <w:r>
              <w:rPr>
                <w:b w:val="0"/>
                <w:sz w:val="14"/>
              </w:rPr>
              <w:t>7.5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1.5</w:t>
            </w:r>
          </w:p>
        </w:tc>
        <w:tc>
          <w:tcPr>
            <w:tcW w:type="dxa" w:w="1728"/>
            <w:vAlign w:val="top"/>
          </w:tcPr>
          <w:p>
            <w:pPr>
              <w:jc w:val="left"/>
            </w:pPr>
            <w:r/>
            <w:r>
              <w:rPr>
                <w:b w:val="0"/>
                <w:sz w:val="14"/>
              </w:rPr>
              <w:t>9</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0.5</w:t>
            </w:r>
          </w:p>
        </w:tc>
        <w:tc>
          <w:tcPr>
            <w:tcW w:type="dxa" w:w="1728"/>
            <w:vAlign w:val="top"/>
          </w:tcPr>
          <w:p>
            <w:pPr>
              <w:jc w:val="left"/>
            </w:pPr>
            <w:r/>
            <w:r>
              <w:rPr>
                <w:b w:val="0"/>
                <w:sz w:val="14"/>
              </w:rPr>
              <w:t>4</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0.75</w:t>
            </w:r>
          </w:p>
        </w:tc>
        <w:tc>
          <w:tcPr>
            <w:tcW w:type="dxa" w:w="1728"/>
            <w:vAlign w:val="top"/>
          </w:tcPr>
          <w:p>
            <w:pPr>
              <w:jc w:val="left"/>
            </w:pPr>
            <w:r/>
            <w:r>
              <w:rPr>
                <w:b w:val="0"/>
                <w:sz w:val="14"/>
              </w:rPr>
              <w:t>6</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w:t>
            </w:r>
          </w:p>
        </w:tc>
        <w:tc>
          <w:tcPr>
            <w:tcW w:type="dxa" w:w="1728"/>
            <w:vAlign w:val="top"/>
          </w:tcPr>
          <w:p>
            <w:pPr>
              <w:jc w:val="left"/>
            </w:pPr>
            <w:r/>
            <w:r>
              <w:rPr>
                <w:b w:val="0"/>
                <w:sz w:val="14"/>
              </w:rPr>
              <w:t>8</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1.25</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1.5</w:t>
            </w:r>
          </w:p>
        </w:tc>
        <w:tc>
          <w:tcPr>
            <w:tcW w:type="dxa" w:w="1728"/>
            <w:vAlign w:val="top"/>
          </w:tcPr>
          <w:p>
            <w:pPr>
              <w:jc w:val="left"/>
            </w:pPr>
            <w:r/>
            <w:r>
              <w:rPr>
                <w:b w:val="0"/>
                <w:sz w:val="14"/>
              </w:rPr>
              <w:t>12</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p>
      <w:pPr>
        <w:pStyle w:val="Heading2"/>
      </w:pPr>
      <w:r>
        <w:t>Appendix Table A14. Independent 3,000-variant current cross-disease validation</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scope</w:t>
            </w:r>
          </w:p>
        </w:tc>
        <w:tc>
          <w:tcPr>
            <w:tcW w:type="dxa" w:w="1037"/>
            <w:vAlign w:val="top"/>
            <w:shd w:fill="D9EAF7"/>
          </w:tcPr>
          <w:p>
            <w:pPr>
              <w:jc w:val="left"/>
            </w:pPr>
            <w:r/>
            <w:r>
              <w:rPr>
                <w:b/>
                <w:sz w:val="14"/>
              </w:rPr>
              <w:t>metric</w:t>
            </w:r>
          </w:p>
        </w:tc>
        <w:tc>
          <w:tcPr>
            <w:tcW w:type="dxa" w:w="1037"/>
            <w:vAlign w:val="top"/>
            <w:shd w:fill="D9EAF7"/>
          </w:tcPr>
          <w:p>
            <w:pPr>
              <w:jc w:val="left"/>
            </w:pPr>
            <w:r/>
            <w:r>
              <w:rPr>
                <w:b/>
                <w:sz w:val="14"/>
              </w:rPr>
              <w:t>count</w:t>
            </w:r>
          </w:p>
        </w:tc>
        <w:tc>
          <w:tcPr>
            <w:tcW w:type="dxa" w:w="1037"/>
            <w:vAlign w:val="top"/>
            <w:shd w:fill="D9EAF7"/>
          </w:tcPr>
          <w:p>
            <w:pPr>
              <w:jc w:val="left"/>
            </w:pPr>
            <w:r/>
            <w:r>
              <w:rPr>
                <w:b/>
                <w:sz w:val="14"/>
              </w:rPr>
              <w:t>denominator</w:t>
            </w:r>
          </w:p>
        </w:tc>
        <w:tc>
          <w:tcPr>
            <w:tcW w:type="dxa" w:w="1037"/>
            <w:vAlign w:val="top"/>
            <w:shd w:fill="D9EAF7"/>
          </w:tcPr>
          <w:p>
            <w:pPr>
              <w:jc w:val="left"/>
            </w:pPr>
            <w:r/>
            <w:r>
              <w:rPr>
                <w:b/>
                <w:sz w:val="14"/>
              </w:rPr>
              <w:t>rate</w:t>
            </w:r>
          </w:p>
        </w:tc>
        <w:tc>
          <w:tcPr>
            <w:tcW w:type="dxa" w:w="1037"/>
            <w:vAlign w:val="top"/>
            <w:shd w:fill="D9EAF7"/>
          </w:tcPr>
          <w:p>
            <w:pPr>
              <w:jc w:val="left"/>
            </w:pPr>
            <w:r/>
            <w:r>
              <w:rPr>
                <w:b/>
                <w:sz w:val="14"/>
              </w:rPr>
              <w:t>rate_ci_low</w:t>
            </w:r>
          </w:p>
        </w:tc>
        <w:tc>
          <w:tcPr>
            <w:tcW w:type="dxa" w:w="1037"/>
            <w:vAlign w:val="top"/>
            <w:shd w:fill="D9EAF7"/>
          </w:tcPr>
          <w:p>
            <w:pPr>
              <w:jc w:val="left"/>
            </w:pPr>
            <w:r/>
            <w:r>
              <w:rPr>
                <w:b/>
                <w:sz w:val="14"/>
              </w:rPr>
              <w:t>rate_ci_high</w:t>
            </w:r>
          </w:p>
        </w:tc>
        <w:tc>
          <w:tcPr>
            <w:tcW w:type="dxa" w:w="1037"/>
            <w:vAlign w:val="top"/>
            <w:shd w:fill="D9EAF7"/>
          </w:tcPr>
          <w:p>
            <w:pPr>
              <w:jc w:val="left"/>
            </w:pPr>
            <w:r/>
            <w:r>
              <w:rPr>
                <w:b/>
                <w:sz w:val="14"/>
              </w:rPr>
              <w:t>expected_per_10000</w:t>
            </w:r>
          </w:p>
        </w:tc>
        <w:tc>
          <w:tcPr>
            <w:tcW w:type="dxa" w:w="1037"/>
            <w:vAlign w:val="top"/>
            <w:shd w:fill="D9EAF7"/>
          </w:tcPr>
          <w:p>
            <w:pPr>
              <w:jc w:val="left"/>
            </w:pPr>
            <w:r/>
            <w:r>
              <w:rPr>
                <w:b/>
                <w:sz w:val="14"/>
              </w:rPr>
              <w:t>expected_per_10000_ci_low</w:t>
            </w:r>
          </w:p>
        </w:tc>
        <w:tc>
          <w:tcPr>
            <w:tcW w:type="dxa" w:w="1037"/>
            <w:vAlign w:val="top"/>
            <w:shd w:fill="D9EAF7"/>
          </w:tcPr>
          <w:p>
            <w:pPr>
              <w:jc w:val="left"/>
            </w:pPr>
            <w:r/>
            <w:r>
              <w:rPr>
                <w:b/>
                <w:sz w:val="14"/>
              </w:rPr>
              <w:t>expected_per_10000_ci_high</w:t>
            </w:r>
          </w:p>
        </w:tc>
      </w:tr>
      <w:tr>
        <w:tc>
          <w:tcPr>
            <w:tcW w:type="dxa" w:w="1037"/>
            <w:vAlign w:val="top"/>
          </w:tcPr>
          <w:p>
            <w:pPr>
              <w:jc w:val="left"/>
            </w:pPr>
            <w:r/>
            <w:r>
              <w:rPr>
                <w:b w:val="0"/>
                <w:sz w:val="14"/>
              </w:rPr>
              <w:t>overall</w:t>
            </w:r>
          </w:p>
        </w:tc>
        <w:tc>
          <w:tcPr>
            <w:tcW w:type="dxa" w:w="1037"/>
            <w:vAlign w:val="top"/>
          </w:tcPr>
          <w:p>
            <w:pPr>
              <w:jc w:val="left"/>
            </w:pPr>
            <w:r/>
            <w:r>
              <w:rPr>
                <w:b w:val="0"/>
                <w:sz w:val="14"/>
              </w:rPr>
              <w:t>frequency_observed</w:t>
            </w:r>
          </w:p>
        </w:tc>
        <w:tc>
          <w:tcPr>
            <w:tcW w:type="dxa" w:w="1037"/>
            <w:vAlign w:val="top"/>
          </w:tcPr>
          <w:p>
            <w:pPr>
              <w:jc w:val="left"/>
            </w:pPr>
            <w:r/>
            <w:r>
              <w:rPr>
                <w:b w:val="0"/>
                <w:sz w:val="14"/>
              </w:rPr>
              <w:t>668</w:t>
            </w:r>
          </w:p>
        </w:tc>
        <w:tc>
          <w:tcPr>
            <w:tcW w:type="dxa" w:w="1037"/>
            <w:vAlign w:val="top"/>
          </w:tcPr>
          <w:p>
            <w:pPr>
              <w:jc w:val="left"/>
            </w:pPr>
            <w:r/>
            <w:r>
              <w:rPr>
                <w:b w:val="0"/>
                <w:sz w:val="14"/>
              </w:rPr>
              <w:t>3,000</w:t>
            </w:r>
          </w:p>
        </w:tc>
        <w:tc>
          <w:tcPr>
            <w:tcW w:type="dxa" w:w="1037"/>
            <w:vAlign w:val="top"/>
          </w:tcPr>
          <w:p>
            <w:pPr>
              <w:jc w:val="left"/>
            </w:pPr>
            <w:r/>
            <w:r>
              <w:rPr>
                <w:b w:val="0"/>
                <w:sz w:val="14"/>
              </w:rPr>
              <w:t>0.223</w:t>
            </w:r>
          </w:p>
        </w:tc>
        <w:tc>
          <w:tcPr>
            <w:tcW w:type="dxa" w:w="1037"/>
            <w:vAlign w:val="top"/>
          </w:tcPr>
          <w:p>
            <w:pPr>
              <w:jc w:val="left"/>
            </w:pPr>
            <w:r/>
            <w:r>
              <w:rPr>
                <w:b w:val="0"/>
                <w:sz w:val="14"/>
              </w:rPr>
              <w:t>0.208</w:t>
            </w:r>
          </w:p>
        </w:tc>
        <w:tc>
          <w:tcPr>
            <w:tcW w:type="dxa" w:w="1037"/>
            <w:vAlign w:val="top"/>
          </w:tcPr>
          <w:p>
            <w:pPr>
              <w:jc w:val="left"/>
            </w:pPr>
            <w:r/>
            <w:r>
              <w:rPr>
                <w:b w:val="0"/>
                <w:sz w:val="14"/>
              </w:rPr>
              <w:t>0.238</w:t>
            </w:r>
          </w:p>
        </w:tc>
        <w:tc>
          <w:tcPr>
            <w:tcW w:type="dxa" w:w="1037"/>
            <w:vAlign w:val="top"/>
          </w:tcPr>
          <w:p>
            <w:pPr>
              <w:jc w:val="left"/>
            </w:pPr>
            <w:r/>
            <w:r>
              <w:rPr>
                <w:b w:val="0"/>
                <w:sz w:val="14"/>
              </w:rPr>
              <w:t>2,226.67</w:t>
            </w:r>
          </w:p>
        </w:tc>
        <w:tc>
          <w:tcPr>
            <w:tcW w:type="dxa" w:w="1037"/>
            <w:vAlign w:val="top"/>
          </w:tcPr>
          <w:p>
            <w:pPr>
              <w:jc w:val="left"/>
            </w:pPr>
            <w:r/>
            <w:r>
              <w:rPr>
                <w:b w:val="0"/>
                <w:sz w:val="14"/>
              </w:rPr>
              <w:t>2,081.39</w:t>
            </w:r>
          </w:p>
        </w:tc>
        <w:tc>
          <w:tcPr>
            <w:tcW w:type="dxa" w:w="1037"/>
            <w:vAlign w:val="top"/>
          </w:tcPr>
          <w:p>
            <w:pPr>
              <w:jc w:val="left"/>
            </w:pPr>
            <w:r/>
            <w:r>
              <w:rPr>
                <w:b w:val="0"/>
                <w:sz w:val="14"/>
              </w:rPr>
              <w:t>2,379.04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naive_af_gt_1e_5</w:t>
            </w:r>
          </w:p>
        </w:tc>
        <w:tc>
          <w:tcPr>
            <w:tcW w:type="dxa" w:w="1037"/>
            <w:vAlign w:val="top"/>
          </w:tcPr>
          <w:p>
            <w:pPr>
              <w:jc w:val="left"/>
            </w:pPr>
            <w:r/>
            <w:r>
              <w:rPr>
                <w:b w:val="0"/>
                <w:sz w:val="14"/>
              </w:rPr>
              <w:t>332</w:t>
            </w:r>
          </w:p>
        </w:tc>
        <w:tc>
          <w:tcPr>
            <w:tcW w:type="dxa" w:w="1037"/>
            <w:vAlign w:val="top"/>
          </w:tcPr>
          <w:p>
            <w:pPr>
              <w:jc w:val="left"/>
            </w:pPr>
            <w:r/>
            <w:r>
              <w:rPr>
                <w:b w:val="0"/>
                <w:sz w:val="14"/>
              </w:rPr>
              <w:t>3,000</w:t>
            </w:r>
          </w:p>
        </w:tc>
        <w:tc>
          <w:tcPr>
            <w:tcW w:type="dxa" w:w="1037"/>
            <w:vAlign w:val="top"/>
          </w:tcPr>
          <w:p>
            <w:pPr>
              <w:jc w:val="left"/>
            </w:pPr>
            <w:r/>
            <w:r>
              <w:rPr>
                <w:b w:val="0"/>
                <w:sz w:val="14"/>
              </w:rPr>
              <w:t>0.111</w:t>
            </w:r>
          </w:p>
        </w:tc>
        <w:tc>
          <w:tcPr>
            <w:tcW w:type="dxa" w:w="1037"/>
            <w:vAlign w:val="top"/>
          </w:tcPr>
          <w:p>
            <w:pPr>
              <w:jc w:val="left"/>
            </w:pPr>
            <w:r/>
            <w:r>
              <w:rPr>
                <w:b w:val="0"/>
                <w:sz w:val="14"/>
              </w:rPr>
              <w:t>0.0999</w:t>
            </w:r>
          </w:p>
        </w:tc>
        <w:tc>
          <w:tcPr>
            <w:tcW w:type="dxa" w:w="1037"/>
            <w:vAlign w:val="top"/>
          </w:tcPr>
          <w:p>
            <w:pPr>
              <w:jc w:val="left"/>
            </w:pPr>
            <w:r/>
            <w:r>
              <w:rPr>
                <w:b w:val="0"/>
                <w:sz w:val="14"/>
              </w:rPr>
              <w:t>0.122</w:t>
            </w:r>
          </w:p>
        </w:tc>
        <w:tc>
          <w:tcPr>
            <w:tcW w:type="dxa" w:w="1037"/>
            <w:vAlign w:val="top"/>
          </w:tcPr>
          <w:p>
            <w:pPr>
              <w:jc w:val="left"/>
            </w:pPr>
            <w:r/>
            <w:r>
              <w:rPr>
                <w:b w:val="0"/>
                <w:sz w:val="14"/>
              </w:rPr>
              <w:t>1,106.67</w:t>
            </w:r>
          </w:p>
        </w:tc>
        <w:tc>
          <w:tcPr>
            <w:tcW w:type="dxa" w:w="1037"/>
            <w:vAlign w:val="top"/>
          </w:tcPr>
          <w:p>
            <w:pPr>
              <w:jc w:val="left"/>
            </w:pPr>
            <w:r/>
            <w:r>
              <w:rPr>
                <w:b w:val="0"/>
                <w:sz w:val="14"/>
              </w:rPr>
              <w:t>999.3</w:t>
            </w:r>
          </w:p>
        </w:tc>
        <w:tc>
          <w:tcPr>
            <w:tcW w:type="dxa" w:w="1037"/>
            <w:vAlign w:val="top"/>
          </w:tcPr>
          <w:p>
            <w:pPr>
              <w:jc w:val="left"/>
            </w:pPr>
            <w:r/>
            <w:r>
              <w:rPr>
                <w:b w:val="0"/>
                <w:sz w:val="14"/>
              </w:rPr>
              <w:t>1,223.95</w:t>
            </w:r>
          </w:p>
        </w:tc>
      </w:tr>
      <w:tr>
        <w:tc>
          <w:tcPr>
            <w:tcW w:type="dxa" w:w="1037"/>
            <w:vAlign w:val="top"/>
          </w:tcPr>
          <w:p>
            <w:pPr>
              <w:jc w:val="left"/>
            </w:pPr>
            <w:r/>
            <w:r>
              <w:rPr>
                <w:b w:val="0"/>
                <w:sz w:val="14"/>
              </w:rPr>
              <w:t>overall</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71</w:t>
            </w:r>
          </w:p>
        </w:tc>
        <w:tc>
          <w:tcPr>
            <w:tcW w:type="dxa" w:w="1037"/>
            <w:vAlign w:val="top"/>
          </w:tcPr>
          <w:p>
            <w:pPr>
              <w:jc w:val="left"/>
            </w:pPr>
            <w:r/>
            <w:r>
              <w:rPr>
                <w:b w:val="0"/>
                <w:sz w:val="14"/>
              </w:rPr>
              <w:t>3,000</w:t>
            </w:r>
          </w:p>
        </w:tc>
        <w:tc>
          <w:tcPr>
            <w:tcW w:type="dxa" w:w="1037"/>
            <w:vAlign w:val="top"/>
          </w:tcPr>
          <w:p>
            <w:pPr>
              <w:jc w:val="left"/>
            </w:pPr>
            <w:r/>
            <w:r>
              <w:rPr>
                <w:b w:val="0"/>
                <w:sz w:val="14"/>
              </w:rPr>
              <w:t>0.0237</w:t>
            </w:r>
          </w:p>
        </w:tc>
        <w:tc>
          <w:tcPr>
            <w:tcW w:type="dxa" w:w="1037"/>
            <w:vAlign w:val="top"/>
          </w:tcPr>
          <w:p>
            <w:pPr>
              <w:jc w:val="left"/>
            </w:pPr>
            <w:r/>
            <w:r>
              <w:rPr>
                <w:b w:val="0"/>
                <w:sz w:val="14"/>
              </w:rPr>
              <w:t>0.0188</w:t>
            </w:r>
          </w:p>
        </w:tc>
        <w:tc>
          <w:tcPr>
            <w:tcW w:type="dxa" w:w="1037"/>
            <w:vAlign w:val="top"/>
          </w:tcPr>
          <w:p>
            <w:pPr>
              <w:jc w:val="left"/>
            </w:pPr>
            <w:r/>
            <w:r>
              <w:rPr>
                <w:b w:val="0"/>
                <w:sz w:val="14"/>
              </w:rPr>
              <w:t>0.0297</w:t>
            </w:r>
          </w:p>
        </w:tc>
        <w:tc>
          <w:tcPr>
            <w:tcW w:type="dxa" w:w="1037"/>
            <w:vAlign w:val="top"/>
          </w:tcPr>
          <w:p>
            <w:pPr>
              <w:jc w:val="left"/>
            </w:pPr>
            <w:r/>
            <w:r>
              <w:rPr>
                <w:b w:val="0"/>
                <w:sz w:val="14"/>
              </w:rPr>
              <w:t>236.7</w:t>
            </w:r>
          </w:p>
        </w:tc>
        <w:tc>
          <w:tcPr>
            <w:tcW w:type="dxa" w:w="1037"/>
            <w:vAlign w:val="top"/>
          </w:tcPr>
          <w:p>
            <w:pPr>
              <w:jc w:val="left"/>
            </w:pPr>
            <w:r/>
            <w:r>
              <w:rPr>
                <w:b w:val="0"/>
                <w:sz w:val="14"/>
              </w:rPr>
              <w:t>188.1</w:t>
            </w:r>
          </w:p>
        </w:tc>
        <w:tc>
          <w:tcPr>
            <w:tcW w:type="dxa" w:w="1037"/>
            <w:vAlign w:val="top"/>
          </w:tcPr>
          <w:p>
            <w:pPr>
              <w:jc w:val="left"/>
            </w:pPr>
            <w:r/>
            <w:r>
              <w:rPr>
                <w:b w:val="0"/>
                <w:sz w:val="14"/>
              </w:rPr>
              <w:t>297.5</w:t>
            </w:r>
          </w:p>
        </w:tc>
      </w:tr>
      <w:tr>
        <w:tc>
          <w:tcPr>
            <w:tcW w:type="dxa" w:w="1037"/>
            <w:vAlign w:val="top"/>
          </w:tcPr>
          <w:p>
            <w:pPr>
              <w:jc w:val="left"/>
            </w:pPr>
            <w:r/>
            <w:r>
              <w:rPr>
                <w:b w:val="0"/>
                <w:sz w:val="14"/>
              </w:rPr>
              <w:t>overall</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3,000</w:t>
            </w:r>
          </w:p>
        </w:tc>
        <w:tc>
          <w:tcPr>
            <w:tcW w:type="dxa" w:w="1037"/>
            <w:vAlign w:val="top"/>
          </w:tcPr>
          <w:p>
            <w:pPr>
              <w:jc w:val="left"/>
            </w:pPr>
            <w:r/>
            <w:r>
              <w:rPr>
                <w:b w:val="0"/>
                <w:sz w:val="14"/>
              </w:rPr>
              <w:t>0.001</w:t>
            </w:r>
          </w:p>
        </w:tc>
        <w:tc>
          <w:tcPr>
            <w:tcW w:type="dxa" w:w="1037"/>
            <w:vAlign w:val="top"/>
          </w:tcPr>
          <w:p>
            <w:pPr>
              <w:jc w:val="left"/>
            </w:pPr>
            <w:r/>
            <w:r>
              <w:rPr>
                <w:b w:val="0"/>
                <w:sz w:val="14"/>
              </w:rPr>
              <w:t>0.00034</w:t>
            </w:r>
          </w:p>
        </w:tc>
        <w:tc>
          <w:tcPr>
            <w:tcW w:type="dxa" w:w="1037"/>
            <w:vAlign w:val="top"/>
          </w:tcPr>
          <w:p>
            <w:pPr>
              <w:jc w:val="left"/>
            </w:pPr>
            <w:r/>
            <w:r>
              <w:rPr>
                <w:b w:val="0"/>
                <w:sz w:val="14"/>
              </w:rPr>
              <w:t>0.00294</w:t>
            </w:r>
          </w:p>
        </w:tc>
        <w:tc>
          <w:tcPr>
            <w:tcW w:type="dxa" w:w="1037"/>
            <w:vAlign w:val="top"/>
          </w:tcPr>
          <w:p>
            <w:pPr>
              <w:jc w:val="left"/>
            </w:pPr>
            <w:r/>
            <w:r>
              <w:rPr>
                <w:b w:val="0"/>
                <w:sz w:val="14"/>
              </w:rPr>
              <w:t>10</w:t>
            </w:r>
          </w:p>
        </w:tc>
        <w:tc>
          <w:tcPr>
            <w:tcW w:type="dxa" w:w="1037"/>
            <w:vAlign w:val="top"/>
          </w:tcPr>
          <w:p>
            <w:pPr>
              <w:jc w:val="left"/>
            </w:pPr>
            <w:r/>
            <w:r>
              <w:rPr>
                <w:b w:val="0"/>
                <w:sz w:val="14"/>
              </w:rPr>
              <w:t>3.401</w:t>
            </w:r>
          </w:p>
        </w:tc>
        <w:tc>
          <w:tcPr>
            <w:tcW w:type="dxa" w:w="1037"/>
            <w:vAlign w:val="top"/>
          </w:tcPr>
          <w:p>
            <w:pPr>
              <w:jc w:val="left"/>
            </w:pPr>
            <w:r/>
            <w:r>
              <w:rPr>
                <w:b w:val="0"/>
                <w:sz w:val="14"/>
              </w:rPr>
              <w:t>29.4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110.7</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frequency_observed</w:t>
            </w:r>
          </w:p>
        </w:tc>
        <w:tc>
          <w:tcPr>
            <w:tcW w:type="dxa" w:w="1037"/>
            <w:vAlign w:val="top"/>
          </w:tcPr>
          <w:p>
            <w:pPr>
              <w:jc w:val="left"/>
            </w:pPr>
            <w:r/>
            <w:r>
              <w:rPr>
                <w:b w:val="0"/>
                <w:sz w:val="14"/>
              </w:rPr>
              <w:t>300</w:t>
            </w:r>
          </w:p>
        </w:tc>
        <w:tc>
          <w:tcPr>
            <w:tcW w:type="dxa" w:w="1037"/>
            <w:vAlign w:val="top"/>
          </w:tcPr>
          <w:p>
            <w:pPr>
              <w:jc w:val="left"/>
            </w:pPr>
            <w:r/>
            <w:r>
              <w:rPr>
                <w:b w:val="0"/>
                <w:sz w:val="14"/>
              </w:rPr>
              <w:t>1,000</w:t>
            </w:r>
          </w:p>
        </w:tc>
        <w:tc>
          <w:tcPr>
            <w:tcW w:type="dxa" w:w="1037"/>
            <w:vAlign w:val="top"/>
          </w:tcPr>
          <w:p>
            <w:pPr>
              <w:jc w:val="left"/>
            </w:pPr>
            <w:r/>
            <w:r>
              <w:rPr>
                <w:b w:val="0"/>
                <w:sz w:val="14"/>
              </w:rPr>
              <w:t>0.3</w:t>
            </w:r>
          </w:p>
        </w:tc>
        <w:tc>
          <w:tcPr>
            <w:tcW w:type="dxa" w:w="1037"/>
            <w:vAlign w:val="top"/>
          </w:tcPr>
          <w:p>
            <w:pPr>
              <w:jc w:val="left"/>
            </w:pPr>
            <w:r/>
            <w:r>
              <w:rPr>
                <w:b w:val="0"/>
                <w:sz w:val="14"/>
              </w:rPr>
              <w:t>0.272</w:t>
            </w:r>
          </w:p>
        </w:tc>
        <w:tc>
          <w:tcPr>
            <w:tcW w:type="dxa" w:w="1037"/>
            <w:vAlign w:val="top"/>
          </w:tcPr>
          <w:p>
            <w:pPr>
              <w:jc w:val="left"/>
            </w:pPr>
            <w:r/>
            <w:r>
              <w:rPr>
                <w:b w:val="0"/>
                <w:sz w:val="14"/>
              </w:rPr>
              <w:t>0.329</w:t>
            </w:r>
          </w:p>
        </w:tc>
        <w:tc>
          <w:tcPr>
            <w:tcW w:type="dxa" w:w="1037"/>
            <w:vAlign w:val="top"/>
          </w:tcPr>
          <w:p>
            <w:pPr>
              <w:jc w:val="left"/>
            </w:pPr>
            <w:r/>
            <w:r>
              <w:rPr>
                <w:b w:val="0"/>
                <w:sz w:val="14"/>
              </w:rPr>
              <w:t>3,000</w:t>
            </w:r>
          </w:p>
        </w:tc>
        <w:tc>
          <w:tcPr>
            <w:tcW w:type="dxa" w:w="1037"/>
            <w:vAlign w:val="top"/>
          </w:tcPr>
          <w:p>
            <w:pPr>
              <w:jc w:val="left"/>
            </w:pPr>
            <w:r/>
            <w:r>
              <w:rPr>
                <w:b w:val="0"/>
                <w:sz w:val="14"/>
              </w:rPr>
              <w:t>2,724.06</w:t>
            </w:r>
          </w:p>
        </w:tc>
        <w:tc>
          <w:tcPr>
            <w:tcW w:type="dxa" w:w="1037"/>
            <w:vAlign w:val="top"/>
          </w:tcPr>
          <w:p>
            <w:pPr>
              <w:jc w:val="left"/>
            </w:pPr>
            <w:r/>
            <w:r>
              <w:rPr>
                <w:b w:val="0"/>
                <w:sz w:val="14"/>
              </w:rPr>
              <w:t>3,291.24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naive_af_gt_1e_5</w:t>
            </w:r>
          </w:p>
        </w:tc>
        <w:tc>
          <w:tcPr>
            <w:tcW w:type="dxa" w:w="1037"/>
            <w:vAlign w:val="top"/>
          </w:tcPr>
          <w:p>
            <w:pPr>
              <w:jc w:val="left"/>
            </w:pPr>
            <w:r/>
            <w:r>
              <w:rPr>
                <w:b w:val="0"/>
                <w:sz w:val="14"/>
              </w:rPr>
              <w:t>151</w:t>
            </w:r>
          </w:p>
        </w:tc>
        <w:tc>
          <w:tcPr>
            <w:tcW w:type="dxa" w:w="1037"/>
            <w:vAlign w:val="top"/>
          </w:tcPr>
          <w:p>
            <w:pPr>
              <w:jc w:val="left"/>
            </w:pPr>
            <w:r/>
            <w:r>
              <w:rPr>
                <w:b w:val="0"/>
                <w:sz w:val="14"/>
              </w:rPr>
              <w:t>1,000</w:t>
            </w:r>
          </w:p>
        </w:tc>
        <w:tc>
          <w:tcPr>
            <w:tcW w:type="dxa" w:w="1037"/>
            <w:vAlign w:val="top"/>
          </w:tcPr>
          <w:p>
            <w:pPr>
              <w:jc w:val="left"/>
            </w:pPr>
            <w:r/>
            <w:r>
              <w:rPr>
                <w:b w:val="0"/>
                <w:sz w:val="14"/>
              </w:rPr>
              <w:t>0.151</w:t>
            </w:r>
          </w:p>
        </w:tc>
        <w:tc>
          <w:tcPr>
            <w:tcW w:type="dxa" w:w="1037"/>
            <w:vAlign w:val="top"/>
          </w:tcPr>
          <w:p>
            <w:pPr>
              <w:jc w:val="left"/>
            </w:pPr>
            <w:r/>
            <w:r>
              <w:rPr>
                <w:b w:val="0"/>
                <w:sz w:val="14"/>
              </w:rPr>
              <w:t>0.13</w:t>
            </w:r>
          </w:p>
        </w:tc>
        <w:tc>
          <w:tcPr>
            <w:tcW w:type="dxa" w:w="1037"/>
            <w:vAlign w:val="top"/>
          </w:tcPr>
          <w:p>
            <w:pPr>
              <w:jc w:val="left"/>
            </w:pPr>
            <w:r/>
            <w:r>
              <w:rPr>
                <w:b w:val="0"/>
                <w:sz w:val="14"/>
              </w:rPr>
              <w:t>0.175</w:t>
            </w:r>
          </w:p>
        </w:tc>
        <w:tc>
          <w:tcPr>
            <w:tcW w:type="dxa" w:w="1037"/>
            <w:vAlign w:val="top"/>
          </w:tcPr>
          <w:p>
            <w:pPr>
              <w:jc w:val="left"/>
            </w:pPr>
            <w:r/>
            <w:r>
              <w:rPr>
                <w:b w:val="0"/>
                <w:sz w:val="14"/>
              </w:rPr>
              <w:t>1,510</w:t>
            </w:r>
          </w:p>
        </w:tc>
        <w:tc>
          <w:tcPr>
            <w:tcW w:type="dxa" w:w="1037"/>
            <w:vAlign w:val="top"/>
          </w:tcPr>
          <w:p>
            <w:pPr>
              <w:jc w:val="left"/>
            </w:pPr>
            <w:r/>
            <w:r>
              <w:rPr>
                <w:b w:val="0"/>
                <w:sz w:val="14"/>
              </w:rPr>
              <w:t>1,301.46</w:t>
            </w:r>
          </w:p>
        </w:tc>
        <w:tc>
          <w:tcPr>
            <w:tcW w:type="dxa" w:w="1037"/>
            <w:vAlign w:val="top"/>
          </w:tcPr>
          <w:p>
            <w:pPr>
              <w:jc w:val="left"/>
            </w:pPr>
            <w:r/>
            <w:r>
              <w:rPr>
                <w:b w:val="0"/>
                <w:sz w:val="14"/>
              </w:rPr>
              <w:t>1,745.25</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34</w:t>
            </w:r>
          </w:p>
        </w:tc>
        <w:tc>
          <w:tcPr>
            <w:tcW w:type="dxa" w:w="1037"/>
            <w:vAlign w:val="top"/>
          </w:tcPr>
          <w:p>
            <w:pPr>
              <w:jc w:val="left"/>
            </w:pPr>
            <w:r/>
            <w:r>
              <w:rPr>
                <w:b w:val="0"/>
                <w:sz w:val="14"/>
              </w:rPr>
              <w:t>1,000</w:t>
            </w:r>
          </w:p>
        </w:tc>
        <w:tc>
          <w:tcPr>
            <w:tcW w:type="dxa" w:w="1037"/>
            <w:vAlign w:val="top"/>
          </w:tcPr>
          <w:p>
            <w:pPr>
              <w:jc w:val="left"/>
            </w:pPr>
            <w:r/>
            <w:r>
              <w:rPr>
                <w:b w:val="0"/>
                <w:sz w:val="14"/>
              </w:rPr>
              <w:t>0.034</w:t>
            </w:r>
          </w:p>
        </w:tc>
        <w:tc>
          <w:tcPr>
            <w:tcW w:type="dxa" w:w="1037"/>
            <w:vAlign w:val="top"/>
          </w:tcPr>
          <w:p>
            <w:pPr>
              <w:jc w:val="left"/>
            </w:pPr>
            <w:r/>
            <w:r>
              <w:rPr>
                <w:b w:val="0"/>
                <w:sz w:val="14"/>
              </w:rPr>
              <w:t>0.0244</w:t>
            </w:r>
          </w:p>
        </w:tc>
        <w:tc>
          <w:tcPr>
            <w:tcW w:type="dxa" w:w="1037"/>
            <w:vAlign w:val="top"/>
          </w:tcPr>
          <w:p>
            <w:pPr>
              <w:jc w:val="left"/>
            </w:pPr>
            <w:r/>
            <w:r>
              <w:rPr>
                <w:b w:val="0"/>
                <w:sz w:val="14"/>
              </w:rPr>
              <w:t>0.0471</w:t>
            </w:r>
          </w:p>
        </w:tc>
        <w:tc>
          <w:tcPr>
            <w:tcW w:type="dxa" w:w="1037"/>
            <w:vAlign w:val="top"/>
          </w:tcPr>
          <w:p>
            <w:pPr>
              <w:jc w:val="left"/>
            </w:pPr>
            <w:r/>
            <w:r>
              <w:rPr>
                <w:b w:val="0"/>
                <w:sz w:val="14"/>
              </w:rPr>
              <w:t>340</w:t>
            </w:r>
          </w:p>
        </w:tc>
        <w:tc>
          <w:tcPr>
            <w:tcW w:type="dxa" w:w="1037"/>
            <w:vAlign w:val="top"/>
          </w:tcPr>
          <w:p>
            <w:pPr>
              <w:jc w:val="left"/>
            </w:pPr>
            <w:r/>
            <w:r>
              <w:rPr>
                <w:b w:val="0"/>
                <w:sz w:val="14"/>
              </w:rPr>
              <w:t>244.3</w:t>
            </w:r>
          </w:p>
        </w:tc>
        <w:tc>
          <w:tcPr>
            <w:tcW w:type="dxa" w:w="1037"/>
            <w:vAlign w:val="top"/>
          </w:tcPr>
          <w:p>
            <w:pPr>
              <w:jc w:val="left"/>
            </w:pPr>
            <w:r/>
            <w:r>
              <w:rPr>
                <w:b w:val="0"/>
                <w:sz w:val="14"/>
              </w:rPr>
              <w:t>471.4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vital_red</w:t>
            </w:r>
          </w:p>
        </w:tc>
        <w:tc>
          <w:tcPr>
            <w:tcW w:type="dxa" w:w="1037"/>
            <w:vAlign w:val="top"/>
          </w:tcPr>
          <w:p>
            <w:pPr>
              <w:jc w:val="left"/>
            </w:pPr>
            <w:r/>
            <w:r>
              <w:rPr>
                <w:b w:val="0"/>
                <w:sz w:val="14"/>
              </w:rPr>
              <w:t>2</w:t>
            </w:r>
          </w:p>
        </w:tc>
        <w:tc>
          <w:tcPr>
            <w:tcW w:type="dxa" w:w="1037"/>
            <w:vAlign w:val="top"/>
          </w:tcPr>
          <w:p>
            <w:pPr>
              <w:jc w:val="left"/>
            </w:pPr>
            <w:r/>
            <w:r>
              <w:rPr>
                <w:b w:val="0"/>
                <w:sz w:val="14"/>
              </w:rPr>
              <w:t>1,000</w:t>
            </w:r>
          </w:p>
        </w:tc>
        <w:tc>
          <w:tcPr>
            <w:tcW w:type="dxa" w:w="1037"/>
            <w:vAlign w:val="top"/>
          </w:tcPr>
          <w:p>
            <w:pPr>
              <w:jc w:val="left"/>
            </w:pPr>
            <w:r/>
            <w:r>
              <w:rPr>
                <w:b w:val="0"/>
                <w:sz w:val="14"/>
              </w:rPr>
              <w:t>0.002</w:t>
            </w:r>
          </w:p>
        </w:tc>
        <w:tc>
          <w:tcPr>
            <w:tcW w:type="dxa" w:w="1037"/>
            <w:vAlign w:val="top"/>
          </w:tcPr>
          <w:p>
            <w:pPr>
              <w:jc w:val="left"/>
            </w:pPr>
            <w:r/>
            <w:r>
              <w:rPr>
                <w:b w:val="0"/>
                <w:sz w:val="14"/>
              </w:rPr>
              <w:t>0.000549</w:t>
            </w:r>
          </w:p>
        </w:tc>
        <w:tc>
          <w:tcPr>
            <w:tcW w:type="dxa" w:w="1037"/>
            <w:vAlign w:val="top"/>
          </w:tcPr>
          <w:p>
            <w:pPr>
              <w:jc w:val="left"/>
            </w:pPr>
            <w:r/>
            <w:r>
              <w:rPr>
                <w:b w:val="0"/>
                <w:sz w:val="14"/>
              </w:rPr>
              <w:t>0.00726</w:t>
            </w:r>
          </w:p>
        </w:tc>
        <w:tc>
          <w:tcPr>
            <w:tcW w:type="dxa" w:w="1037"/>
            <w:vAlign w:val="top"/>
          </w:tcPr>
          <w:p>
            <w:pPr>
              <w:jc w:val="left"/>
            </w:pPr>
            <w:r/>
            <w:r>
              <w:rPr>
                <w:b w:val="0"/>
                <w:sz w:val="14"/>
              </w:rPr>
              <w:t>20</w:t>
            </w:r>
          </w:p>
        </w:tc>
        <w:tc>
          <w:tcPr>
            <w:tcW w:type="dxa" w:w="1037"/>
            <w:vAlign w:val="top"/>
          </w:tcPr>
          <w:p>
            <w:pPr>
              <w:jc w:val="left"/>
            </w:pPr>
            <w:r/>
            <w:r>
              <w:rPr>
                <w:b w:val="0"/>
                <w:sz w:val="14"/>
              </w:rPr>
              <w:t>5.486</w:t>
            </w:r>
          </w:p>
        </w:tc>
        <w:tc>
          <w:tcPr>
            <w:tcW w:type="dxa" w:w="1037"/>
            <w:vAlign w:val="top"/>
          </w:tcPr>
          <w:p>
            <w:pPr>
              <w:jc w:val="left"/>
            </w:pPr>
            <w:r/>
            <w:r>
              <w:rPr>
                <w:b w:val="0"/>
                <w:sz w:val="14"/>
              </w:rPr>
              <w:t>72.6</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75.5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19.5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65.4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frequency_observed</w:t>
            </w:r>
          </w:p>
        </w:tc>
        <w:tc>
          <w:tcPr>
            <w:tcW w:type="dxa" w:w="1037"/>
            <w:vAlign w:val="top"/>
          </w:tcPr>
          <w:p>
            <w:pPr>
              <w:jc w:val="left"/>
            </w:pPr>
            <w:r/>
            <w:r>
              <w:rPr>
                <w:b w:val="0"/>
                <w:sz w:val="14"/>
              </w:rPr>
              <w:t>368</w:t>
            </w:r>
          </w:p>
        </w:tc>
        <w:tc>
          <w:tcPr>
            <w:tcW w:type="dxa" w:w="1037"/>
            <w:vAlign w:val="top"/>
          </w:tcPr>
          <w:p>
            <w:pPr>
              <w:jc w:val="left"/>
            </w:pPr>
            <w:r/>
            <w:r>
              <w:rPr>
                <w:b w:val="0"/>
                <w:sz w:val="14"/>
              </w:rPr>
              <w:t>2,000</w:t>
            </w:r>
          </w:p>
        </w:tc>
        <w:tc>
          <w:tcPr>
            <w:tcW w:type="dxa" w:w="1037"/>
            <w:vAlign w:val="top"/>
          </w:tcPr>
          <w:p>
            <w:pPr>
              <w:jc w:val="left"/>
            </w:pPr>
            <w:r/>
            <w:r>
              <w:rPr>
                <w:b w:val="0"/>
                <w:sz w:val="14"/>
              </w:rPr>
              <w:t>0.184</w:t>
            </w:r>
          </w:p>
        </w:tc>
        <w:tc>
          <w:tcPr>
            <w:tcW w:type="dxa" w:w="1037"/>
            <w:vAlign w:val="top"/>
          </w:tcPr>
          <w:p>
            <w:pPr>
              <w:jc w:val="left"/>
            </w:pPr>
            <w:r/>
            <w:r>
              <w:rPr>
                <w:b w:val="0"/>
                <w:sz w:val="14"/>
              </w:rPr>
              <w:t>0.168</w:t>
            </w:r>
          </w:p>
        </w:tc>
        <w:tc>
          <w:tcPr>
            <w:tcW w:type="dxa" w:w="1037"/>
            <w:vAlign w:val="top"/>
          </w:tcPr>
          <w:p>
            <w:pPr>
              <w:jc w:val="left"/>
            </w:pPr>
            <w:r/>
            <w:r>
              <w:rPr>
                <w:b w:val="0"/>
                <w:sz w:val="14"/>
              </w:rPr>
              <w:t>0.202</w:t>
            </w:r>
          </w:p>
        </w:tc>
        <w:tc>
          <w:tcPr>
            <w:tcW w:type="dxa" w:w="1037"/>
            <w:vAlign w:val="top"/>
          </w:tcPr>
          <w:p>
            <w:pPr>
              <w:jc w:val="left"/>
            </w:pPr>
            <w:r/>
            <w:r>
              <w:rPr>
                <w:b w:val="0"/>
                <w:sz w:val="14"/>
              </w:rPr>
              <w:t>1,840</w:t>
            </w:r>
          </w:p>
        </w:tc>
        <w:tc>
          <w:tcPr>
            <w:tcW w:type="dxa" w:w="1037"/>
            <w:vAlign w:val="top"/>
          </w:tcPr>
          <w:p>
            <w:pPr>
              <w:jc w:val="left"/>
            </w:pPr>
            <w:r/>
            <w:r>
              <w:rPr>
                <w:b w:val="0"/>
                <w:sz w:val="14"/>
              </w:rPr>
              <w:t>1,676.29</w:t>
            </w:r>
          </w:p>
        </w:tc>
        <w:tc>
          <w:tcPr>
            <w:tcW w:type="dxa" w:w="1037"/>
            <w:vAlign w:val="top"/>
          </w:tcPr>
          <w:p>
            <w:pPr>
              <w:jc w:val="left"/>
            </w:pPr>
            <w:r/>
            <w:r>
              <w:rPr>
                <w:b w:val="0"/>
                <w:sz w:val="14"/>
              </w:rPr>
              <w:t>2,015.83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naive_af_gt_1e_5</w:t>
            </w:r>
          </w:p>
        </w:tc>
        <w:tc>
          <w:tcPr>
            <w:tcW w:type="dxa" w:w="1037"/>
            <w:vAlign w:val="top"/>
          </w:tcPr>
          <w:p>
            <w:pPr>
              <w:jc w:val="left"/>
            </w:pPr>
            <w:r/>
            <w:r>
              <w:rPr>
                <w:b w:val="0"/>
                <w:sz w:val="14"/>
              </w:rPr>
              <w:t>181</w:t>
            </w:r>
          </w:p>
        </w:tc>
        <w:tc>
          <w:tcPr>
            <w:tcW w:type="dxa" w:w="1037"/>
            <w:vAlign w:val="top"/>
          </w:tcPr>
          <w:p>
            <w:pPr>
              <w:jc w:val="left"/>
            </w:pPr>
            <w:r/>
            <w:r>
              <w:rPr>
                <w:b w:val="0"/>
                <w:sz w:val="14"/>
              </w:rPr>
              <w:t>2,000</w:t>
            </w:r>
          </w:p>
        </w:tc>
        <w:tc>
          <w:tcPr>
            <w:tcW w:type="dxa" w:w="1037"/>
            <w:vAlign w:val="top"/>
          </w:tcPr>
          <w:p>
            <w:pPr>
              <w:jc w:val="left"/>
            </w:pPr>
            <w:r/>
            <w:r>
              <w:rPr>
                <w:b w:val="0"/>
                <w:sz w:val="14"/>
              </w:rPr>
              <w:t>0.0905</w:t>
            </w:r>
          </w:p>
        </w:tc>
        <w:tc>
          <w:tcPr>
            <w:tcW w:type="dxa" w:w="1037"/>
            <w:vAlign w:val="top"/>
          </w:tcPr>
          <w:p>
            <w:pPr>
              <w:jc w:val="left"/>
            </w:pPr>
            <w:r/>
            <w:r>
              <w:rPr>
                <w:b w:val="0"/>
                <w:sz w:val="14"/>
              </w:rPr>
              <w:t>0.0787</w:t>
            </w:r>
          </w:p>
        </w:tc>
        <w:tc>
          <w:tcPr>
            <w:tcW w:type="dxa" w:w="1037"/>
            <w:vAlign w:val="top"/>
          </w:tcPr>
          <w:p>
            <w:pPr>
              <w:jc w:val="left"/>
            </w:pPr>
            <w:r/>
            <w:r>
              <w:rPr>
                <w:b w:val="0"/>
                <w:sz w:val="14"/>
              </w:rPr>
              <w:t>0.104</w:t>
            </w:r>
          </w:p>
        </w:tc>
        <w:tc>
          <w:tcPr>
            <w:tcW w:type="dxa" w:w="1037"/>
            <w:vAlign w:val="top"/>
          </w:tcPr>
          <w:p>
            <w:pPr>
              <w:jc w:val="left"/>
            </w:pPr>
            <w:r/>
            <w:r>
              <w:rPr>
                <w:b w:val="0"/>
                <w:sz w:val="14"/>
              </w:rPr>
              <w:t>905</w:t>
            </w:r>
          </w:p>
        </w:tc>
        <w:tc>
          <w:tcPr>
            <w:tcW w:type="dxa" w:w="1037"/>
            <w:vAlign w:val="top"/>
          </w:tcPr>
          <w:p>
            <w:pPr>
              <w:jc w:val="left"/>
            </w:pPr>
            <w:r/>
            <w:r>
              <w:rPr>
                <w:b w:val="0"/>
                <w:sz w:val="14"/>
              </w:rPr>
              <w:t>787.0</w:t>
            </w:r>
          </w:p>
        </w:tc>
        <w:tc>
          <w:tcPr>
            <w:tcW w:type="dxa" w:w="1037"/>
            <w:vAlign w:val="top"/>
          </w:tcPr>
          <w:p>
            <w:pPr>
              <w:jc w:val="left"/>
            </w:pPr>
            <w:r/>
            <w:r>
              <w:rPr>
                <w:b w:val="0"/>
                <w:sz w:val="14"/>
              </w:rPr>
              <w:t>1,038.71</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37</w:t>
            </w:r>
          </w:p>
        </w:tc>
        <w:tc>
          <w:tcPr>
            <w:tcW w:type="dxa" w:w="1037"/>
            <w:vAlign w:val="top"/>
          </w:tcPr>
          <w:p>
            <w:pPr>
              <w:jc w:val="left"/>
            </w:pPr>
            <w:r/>
            <w:r>
              <w:rPr>
                <w:b w:val="0"/>
                <w:sz w:val="14"/>
              </w:rPr>
              <w:t>2,000</w:t>
            </w:r>
          </w:p>
        </w:tc>
        <w:tc>
          <w:tcPr>
            <w:tcW w:type="dxa" w:w="1037"/>
            <w:vAlign w:val="top"/>
          </w:tcPr>
          <w:p>
            <w:pPr>
              <w:jc w:val="left"/>
            </w:pPr>
            <w:r/>
            <w:r>
              <w:rPr>
                <w:b w:val="0"/>
                <w:sz w:val="14"/>
              </w:rPr>
              <w:t>0.0185</w:t>
            </w:r>
          </w:p>
        </w:tc>
        <w:tc>
          <w:tcPr>
            <w:tcW w:type="dxa" w:w="1037"/>
            <w:vAlign w:val="top"/>
          </w:tcPr>
          <w:p>
            <w:pPr>
              <w:jc w:val="left"/>
            </w:pPr>
            <w:r/>
            <w:r>
              <w:rPr>
                <w:b w:val="0"/>
                <w:sz w:val="14"/>
              </w:rPr>
              <w:t>0.0135</w:t>
            </w:r>
          </w:p>
        </w:tc>
        <w:tc>
          <w:tcPr>
            <w:tcW w:type="dxa" w:w="1037"/>
            <w:vAlign w:val="top"/>
          </w:tcPr>
          <w:p>
            <w:pPr>
              <w:jc w:val="left"/>
            </w:pPr>
            <w:r/>
            <w:r>
              <w:rPr>
                <w:b w:val="0"/>
                <w:sz w:val="14"/>
              </w:rPr>
              <w:t>0.0254</w:t>
            </w:r>
          </w:p>
        </w:tc>
        <w:tc>
          <w:tcPr>
            <w:tcW w:type="dxa" w:w="1037"/>
            <w:vAlign w:val="top"/>
          </w:tcPr>
          <w:p>
            <w:pPr>
              <w:jc w:val="left"/>
            </w:pPr>
            <w:r/>
            <w:r>
              <w:rPr>
                <w:b w:val="0"/>
                <w:sz w:val="14"/>
              </w:rPr>
              <w:t>185</w:t>
            </w:r>
          </w:p>
        </w:tc>
        <w:tc>
          <w:tcPr>
            <w:tcW w:type="dxa" w:w="1037"/>
            <w:vAlign w:val="top"/>
          </w:tcPr>
          <w:p>
            <w:pPr>
              <w:jc w:val="left"/>
            </w:pPr>
            <w:r/>
            <w:r>
              <w:rPr>
                <w:b w:val="0"/>
                <w:sz w:val="14"/>
              </w:rPr>
              <w:t>134.5</w:t>
            </w:r>
          </w:p>
        </w:tc>
        <w:tc>
          <w:tcPr>
            <w:tcW w:type="dxa" w:w="1037"/>
            <w:vAlign w:val="top"/>
          </w:tcPr>
          <w:p>
            <w:pPr>
              <w:jc w:val="left"/>
            </w:pPr>
            <w:r/>
            <w:r>
              <w:rPr>
                <w:b w:val="0"/>
                <w:sz w:val="14"/>
              </w:rPr>
              <w:t>253.9</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vital_red</w:t>
            </w:r>
          </w:p>
        </w:tc>
        <w:tc>
          <w:tcPr>
            <w:tcW w:type="dxa" w:w="1037"/>
            <w:vAlign w:val="top"/>
          </w:tcPr>
          <w:p>
            <w:pPr>
              <w:jc w:val="left"/>
            </w:pPr>
            <w:r/>
            <w:r>
              <w:rPr>
                <w:b w:val="0"/>
                <w:sz w:val="14"/>
              </w:rPr>
              <w:t>1</w:t>
            </w:r>
          </w:p>
        </w:tc>
        <w:tc>
          <w:tcPr>
            <w:tcW w:type="dxa" w:w="1037"/>
            <w:vAlign w:val="top"/>
          </w:tcPr>
          <w:p>
            <w:pPr>
              <w:jc w:val="left"/>
            </w:pPr>
            <w:r/>
            <w:r>
              <w:rPr>
                <w:b w:val="0"/>
                <w:sz w:val="14"/>
              </w:rPr>
              <w:t>2,000</w:t>
            </w:r>
          </w:p>
        </w:tc>
        <w:tc>
          <w:tcPr>
            <w:tcW w:type="dxa" w:w="1037"/>
            <w:vAlign w:val="top"/>
          </w:tcPr>
          <w:p>
            <w:pPr>
              <w:jc w:val="left"/>
            </w:pPr>
            <w:r/>
            <w:r>
              <w:rPr>
                <w:b w:val="0"/>
                <w:sz w:val="14"/>
              </w:rPr>
              <w:t>0.0005</w:t>
            </w:r>
          </w:p>
        </w:tc>
        <w:tc>
          <w:tcPr>
            <w:tcW w:type="dxa" w:w="1037"/>
            <w:vAlign w:val="top"/>
          </w:tcPr>
          <w:p>
            <w:pPr>
              <w:jc w:val="left"/>
            </w:pPr>
            <w:r/>
            <w:r>
              <w:rPr>
                <w:b w:val="0"/>
                <w:sz w:val="14"/>
              </w:rPr>
              <w:t>8.83e-05</w:t>
            </w:r>
          </w:p>
        </w:tc>
        <w:tc>
          <w:tcPr>
            <w:tcW w:type="dxa" w:w="1037"/>
            <w:vAlign w:val="top"/>
          </w:tcPr>
          <w:p>
            <w:pPr>
              <w:jc w:val="left"/>
            </w:pPr>
            <w:r/>
            <w:r>
              <w:rPr>
                <w:b w:val="0"/>
                <w:sz w:val="14"/>
              </w:rPr>
              <w:t>0.00283</w:t>
            </w:r>
          </w:p>
        </w:tc>
        <w:tc>
          <w:tcPr>
            <w:tcW w:type="dxa" w:w="1037"/>
            <w:vAlign w:val="top"/>
          </w:tcPr>
          <w:p>
            <w:pPr>
              <w:jc w:val="left"/>
            </w:pPr>
            <w:r/>
            <w:r>
              <w:rPr>
                <w:b w:val="0"/>
                <w:sz w:val="14"/>
              </w:rPr>
              <w:t>5</w:t>
            </w:r>
          </w:p>
        </w:tc>
        <w:tc>
          <w:tcPr>
            <w:tcW w:type="dxa" w:w="1037"/>
            <w:vAlign w:val="top"/>
          </w:tcPr>
          <w:p>
            <w:pPr>
              <w:jc w:val="left"/>
            </w:pPr>
            <w:r/>
            <w:r>
              <w:rPr>
                <w:b w:val="0"/>
                <w:sz w:val="14"/>
              </w:rPr>
              <w:t>0.883</w:t>
            </w:r>
          </w:p>
        </w:tc>
        <w:tc>
          <w:tcPr>
            <w:tcW w:type="dxa" w:w="1037"/>
            <w:vAlign w:val="top"/>
          </w:tcPr>
          <w:p>
            <w:pPr>
              <w:jc w:val="left"/>
            </w:pPr>
            <w:r/>
            <w:r>
              <w:rPr>
                <w:b w:val="0"/>
                <w:sz w:val="14"/>
              </w:rPr>
              <w:t>28.3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181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61.1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frequency_observed</w:t>
            </w:r>
          </w:p>
        </w:tc>
        <w:tc>
          <w:tcPr>
            <w:tcW w:type="dxa" w:w="1037"/>
            <w:vAlign w:val="top"/>
          </w:tcPr>
          <w:p>
            <w:pPr>
              <w:jc w:val="left"/>
            </w:pPr>
            <w:r/>
            <w:r>
              <w:rPr>
                <w:b w:val="0"/>
                <w:sz w:val="14"/>
              </w:rPr>
              <w:t>54</w:t>
            </w:r>
          </w:p>
        </w:tc>
        <w:tc>
          <w:tcPr>
            <w:tcW w:type="dxa" w:w="1037"/>
            <w:vAlign w:val="top"/>
          </w:tcPr>
          <w:p>
            <w:pPr>
              <w:jc w:val="left"/>
            </w:pPr>
            <w:r/>
            <w:r>
              <w:rPr>
                <w:b w:val="0"/>
                <w:sz w:val="14"/>
              </w:rPr>
              <w:t>443</w:t>
            </w:r>
          </w:p>
        </w:tc>
        <w:tc>
          <w:tcPr>
            <w:tcW w:type="dxa" w:w="1037"/>
            <w:vAlign w:val="top"/>
          </w:tcPr>
          <w:p>
            <w:pPr>
              <w:jc w:val="left"/>
            </w:pPr>
            <w:r/>
            <w:r>
              <w:rPr>
                <w:b w:val="0"/>
                <w:sz w:val="14"/>
              </w:rPr>
              <w:t>0.122</w:t>
            </w:r>
          </w:p>
        </w:tc>
        <w:tc>
          <w:tcPr>
            <w:tcW w:type="dxa" w:w="1037"/>
            <w:vAlign w:val="top"/>
          </w:tcPr>
          <w:p>
            <w:pPr>
              <w:jc w:val="left"/>
            </w:pPr>
            <w:r/>
            <w:r>
              <w:rPr>
                <w:b w:val="0"/>
                <w:sz w:val="14"/>
              </w:rPr>
              <w:t>0.0946</w:t>
            </w:r>
          </w:p>
        </w:tc>
        <w:tc>
          <w:tcPr>
            <w:tcW w:type="dxa" w:w="1037"/>
            <w:vAlign w:val="top"/>
          </w:tcPr>
          <w:p>
            <w:pPr>
              <w:jc w:val="left"/>
            </w:pPr>
            <w:r/>
            <w:r>
              <w:rPr>
                <w:b w:val="0"/>
                <w:sz w:val="14"/>
              </w:rPr>
              <w:t>0.156</w:t>
            </w:r>
          </w:p>
        </w:tc>
        <w:tc>
          <w:tcPr>
            <w:tcW w:type="dxa" w:w="1037"/>
            <w:vAlign w:val="top"/>
          </w:tcPr>
          <w:p>
            <w:pPr>
              <w:jc w:val="left"/>
            </w:pPr>
            <w:r/>
            <w:r>
              <w:rPr>
                <w:b w:val="0"/>
                <w:sz w:val="14"/>
              </w:rPr>
              <w:t>1,218.96</w:t>
            </w:r>
          </w:p>
        </w:tc>
        <w:tc>
          <w:tcPr>
            <w:tcW w:type="dxa" w:w="1037"/>
            <w:vAlign w:val="top"/>
          </w:tcPr>
          <w:p>
            <w:pPr>
              <w:jc w:val="left"/>
            </w:pPr>
            <w:r/>
            <w:r>
              <w:rPr>
                <w:b w:val="0"/>
                <w:sz w:val="14"/>
              </w:rPr>
              <w:t>946.4</w:t>
            </w:r>
          </w:p>
        </w:tc>
        <w:tc>
          <w:tcPr>
            <w:tcW w:type="dxa" w:w="1037"/>
            <w:vAlign w:val="top"/>
          </w:tcPr>
          <w:p>
            <w:pPr>
              <w:jc w:val="left"/>
            </w:pPr>
            <w:r/>
            <w:r>
              <w:rPr>
                <w:b w:val="0"/>
                <w:sz w:val="14"/>
              </w:rPr>
              <w:t>1,556.56</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naive_af_gt_1e_5</w:t>
            </w:r>
          </w:p>
        </w:tc>
        <w:tc>
          <w:tcPr>
            <w:tcW w:type="dxa" w:w="1037"/>
            <w:vAlign w:val="top"/>
          </w:tcPr>
          <w:p>
            <w:pPr>
              <w:jc w:val="left"/>
            </w:pPr>
            <w:r/>
            <w:r>
              <w:rPr>
                <w:b w:val="0"/>
                <w:sz w:val="14"/>
              </w:rPr>
              <w:t>20</w:t>
            </w:r>
          </w:p>
        </w:tc>
        <w:tc>
          <w:tcPr>
            <w:tcW w:type="dxa" w:w="1037"/>
            <w:vAlign w:val="top"/>
          </w:tcPr>
          <w:p>
            <w:pPr>
              <w:jc w:val="left"/>
            </w:pPr>
            <w:r/>
            <w:r>
              <w:rPr>
                <w:b w:val="0"/>
                <w:sz w:val="14"/>
              </w:rPr>
              <w:t>443</w:t>
            </w:r>
          </w:p>
        </w:tc>
        <w:tc>
          <w:tcPr>
            <w:tcW w:type="dxa" w:w="1037"/>
            <w:vAlign w:val="top"/>
          </w:tcPr>
          <w:p>
            <w:pPr>
              <w:jc w:val="left"/>
            </w:pPr>
            <w:r/>
            <w:r>
              <w:rPr>
                <w:b w:val="0"/>
                <w:sz w:val="14"/>
              </w:rPr>
              <w:t>0.0451</w:t>
            </w:r>
          </w:p>
        </w:tc>
        <w:tc>
          <w:tcPr>
            <w:tcW w:type="dxa" w:w="1037"/>
            <w:vAlign w:val="top"/>
          </w:tcPr>
          <w:p>
            <w:pPr>
              <w:jc w:val="left"/>
            </w:pPr>
            <w:r/>
            <w:r>
              <w:rPr>
                <w:b w:val="0"/>
                <w:sz w:val="14"/>
              </w:rPr>
              <w:t>0.0294</w:t>
            </w:r>
          </w:p>
        </w:tc>
        <w:tc>
          <w:tcPr>
            <w:tcW w:type="dxa" w:w="1037"/>
            <w:vAlign w:val="top"/>
          </w:tcPr>
          <w:p>
            <w:pPr>
              <w:jc w:val="left"/>
            </w:pPr>
            <w:r/>
            <w:r>
              <w:rPr>
                <w:b w:val="0"/>
                <w:sz w:val="14"/>
              </w:rPr>
              <w:t>0.0687</w:t>
            </w:r>
          </w:p>
        </w:tc>
        <w:tc>
          <w:tcPr>
            <w:tcW w:type="dxa" w:w="1037"/>
            <w:vAlign w:val="top"/>
          </w:tcPr>
          <w:p>
            <w:pPr>
              <w:jc w:val="left"/>
            </w:pPr>
            <w:r/>
            <w:r>
              <w:rPr>
                <w:b w:val="0"/>
                <w:sz w:val="14"/>
              </w:rPr>
              <w:t>451.5</w:t>
            </w:r>
          </w:p>
        </w:tc>
        <w:tc>
          <w:tcPr>
            <w:tcW w:type="dxa" w:w="1037"/>
            <w:vAlign w:val="top"/>
          </w:tcPr>
          <w:p>
            <w:pPr>
              <w:jc w:val="left"/>
            </w:pPr>
            <w:r/>
            <w:r>
              <w:rPr>
                <w:b w:val="0"/>
                <w:sz w:val="14"/>
              </w:rPr>
              <w:t>294.1</w:t>
            </w:r>
          </w:p>
        </w:tc>
        <w:tc>
          <w:tcPr>
            <w:tcW w:type="dxa" w:w="1037"/>
            <w:vAlign w:val="top"/>
          </w:tcPr>
          <w:p>
            <w:pPr>
              <w:jc w:val="left"/>
            </w:pPr>
            <w:r/>
            <w:r>
              <w:rPr>
                <w:b w:val="0"/>
                <w:sz w:val="14"/>
              </w:rPr>
              <w:t>687.0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2</w:t>
            </w:r>
          </w:p>
        </w:tc>
        <w:tc>
          <w:tcPr>
            <w:tcW w:type="dxa" w:w="1037"/>
            <w:vAlign w:val="top"/>
          </w:tcPr>
          <w:p>
            <w:pPr>
              <w:jc w:val="left"/>
            </w:pPr>
            <w:r/>
            <w:r>
              <w:rPr>
                <w:b w:val="0"/>
                <w:sz w:val="14"/>
              </w:rPr>
              <w:t>443</w:t>
            </w:r>
          </w:p>
        </w:tc>
        <w:tc>
          <w:tcPr>
            <w:tcW w:type="dxa" w:w="1037"/>
            <w:vAlign w:val="top"/>
          </w:tcPr>
          <w:p>
            <w:pPr>
              <w:jc w:val="left"/>
            </w:pPr>
            <w:r/>
            <w:r>
              <w:rPr>
                <w:b w:val="0"/>
                <w:sz w:val="14"/>
              </w:rPr>
              <w:t>0.00451</w:t>
            </w:r>
          </w:p>
        </w:tc>
        <w:tc>
          <w:tcPr>
            <w:tcW w:type="dxa" w:w="1037"/>
            <w:vAlign w:val="top"/>
          </w:tcPr>
          <w:p>
            <w:pPr>
              <w:jc w:val="left"/>
            </w:pPr>
            <w:r/>
            <w:r>
              <w:rPr>
                <w:b w:val="0"/>
                <w:sz w:val="14"/>
              </w:rPr>
              <w:t>0.00124</w:t>
            </w:r>
          </w:p>
        </w:tc>
        <w:tc>
          <w:tcPr>
            <w:tcW w:type="dxa" w:w="1037"/>
            <w:vAlign w:val="top"/>
          </w:tcPr>
          <w:p>
            <w:pPr>
              <w:jc w:val="left"/>
            </w:pPr>
            <w:r/>
            <w:r>
              <w:rPr>
                <w:b w:val="0"/>
                <w:sz w:val="14"/>
              </w:rPr>
              <w:t>0.0163</w:t>
            </w:r>
          </w:p>
        </w:tc>
        <w:tc>
          <w:tcPr>
            <w:tcW w:type="dxa" w:w="1037"/>
            <w:vAlign w:val="top"/>
          </w:tcPr>
          <w:p>
            <w:pPr>
              <w:jc w:val="left"/>
            </w:pPr>
            <w:r/>
            <w:r>
              <w:rPr>
                <w:b w:val="0"/>
                <w:sz w:val="14"/>
              </w:rPr>
              <w:t>45.1</w:t>
            </w:r>
          </w:p>
        </w:tc>
        <w:tc>
          <w:tcPr>
            <w:tcW w:type="dxa" w:w="1037"/>
            <w:vAlign w:val="top"/>
          </w:tcPr>
          <w:p>
            <w:pPr>
              <w:jc w:val="left"/>
            </w:pPr>
            <w:r/>
            <w:r>
              <w:rPr>
                <w:b w:val="0"/>
                <w:sz w:val="14"/>
              </w:rPr>
              <w:t>12.4</w:t>
            </w:r>
          </w:p>
        </w:tc>
        <w:tc>
          <w:tcPr>
            <w:tcW w:type="dxa" w:w="1037"/>
            <w:vAlign w:val="top"/>
          </w:tcPr>
          <w:p>
            <w:pPr>
              <w:jc w:val="left"/>
            </w:pPr>
            <w:r/>
            <w:r>
              <w:rPr>
                <w:b w:val="0"/>
                <w:sz w:val="14"/>
              </w:rPr>
              <w:t>163.1</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vital_red</w:t>
            </w:r>
          </w:p>
        </w:tc>
        <w:tc>
          <w:tcPr>
            <w:tcW w:type="dxa" w:w="1037"/>
            <w:vAlign w:val="top"/>
          </w:tcPr>
          <w:p>
            <w:pPr>
              <w:jc w:val="left"/>
            </w:pPr>
            <w:r/>
            <w:r>
              <w:rPr>
                <w:b w:val="0"/>
                <w:sz w:val="14"/>
              </w:rPr>
              <w:t>0</w:t>
            </w:r>
          </w:p>
        </w:tc>
        <w:tc>
          <w:tcPr>
            <w:tcW w:type="dxa" w:w="1037"/>
            <w:vAlign w:val="top"/>
          </w:tcPr>
          <w:p>
            <w:pPr>
              <w:jc w:val="left"/>
            </w:pPr>
            <w:r/>
            <w:r>
              <w:rPr>
                <w:b w:val="0"/>
                <w:sz w:val="14"/>
              </w:rPr>
              <w:t>443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0.0086</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86.0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inf</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3</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47.6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frequency_observed</w:t>
            </w:r>
          </w:p>
        </w:tc>
        <w:tc>
          <w:tcPr>
            <w:tcW w:type="dxa" w:w="1037"/>
            <w:vAlign w:val="top"/>
          </w:tcPr>
          <w:p>
            <w:pPr>
              <w:jc w:val="left"/>
            </w:pPr>
            <w:r/>
            <w:r>
              <w:rPr>
                <w:b w:val="0"/>
                <w:sz w:val="14"/>
              </w:rPr>
              <w:t>614</w:t>
            </w:r>
          </w:p>
        </w:tc>
        <w:tc>
          <w:tcPr>
            <w:tcW w:type="dxa" w:w="1037"/>
            <w:vAlign w:val="top"/>
          </w:tcPr>
          <w:p>
            <w:pPr>
              <w:jc w:val="left"/>
            </w:pPr>
            <w:r/>
            <w:r>
              <w:rPr>
                <w:b w:val="0"/>
                <w:sz w:val="14"/>
              </w:rPr>
              <w:t>2,557</w:t>
            </w:r>
          </w:p>
        </w:tc>
        <w:tc>
          <w:tcPr>
            <w:tcW w:type="dxa" w:w="1037"/>
            <w:vAlign w:val="top"/>
          </w:tcPr>
          <w:p>
            <w:pPr>
              <w:jc w:val="left"/>
            </w:pPr>
            <w:r/>
            <w:r>
              <w:rPr>
                <w:b w:val="0"/>
                <w:sz w:val="14"/>
              </w:rPr>
              <w:t>0.24</w:t>
            </w:r>
          </w:p>
        </w:tc>
        <w:tc>
          <w:tcPr>
            <w:tcW w:type="dxa" w:w="1037"/>
            <w:vAlign w:val="top"/>
          </w:tcPr>
          <w:p>
            <w:pPr>
              <w:jc w:val="left"/>
            </w:pPr>
            <w:r/>
            <w:r>
              <w:rPr>
                <w:b w:val="0"/>
                <w:sz w:val="14"/>
              </w:rPr>
              <w:t>0.224</w:t>
            </w:r>
          </w:p>
        </w:tc>
        <w:tc>
          <w:tcPr>
            <w:tcW w:type="dxa" w:w="1037"/>
            <w:vAlign w:val="top"/>
          </w:tcPr>
          <w:p>
            <w:pPr>
              <w:jc w:val="left"/>
            </w:pPr>
            <w:r/>
            <w:r>
              <w:rPr>
                <w:b w:val="0"/>
                <w:sz w:val="14"/>
              </w:rPr>
              <w:t>0.257</w:t>
            </w:r>
          </w:p>
        </w:tc>
        <w:tc>
          <w:tcPr>
            <w:tcW w:type="dxa" w:w="1037"/>
            <w:vAlign w:val="top"/>
          </w:tcPr>
          <w:p>
            <w:pPr>
              <w:jc w:val="left"/>
            </w:pPr>
            <w:r/>
            <w:r>
              <w:rPr>
                <w:b w:val="0"/>
                <w:sz w:val="14"/>
              </w:rPr>
              <w:t>2,401.25</w:t>
            </w:r>
          </w:p>
        </w:tc>
        <w:tc>
          <w:tcPr>
            <w:tcW w:type="dxa" w:w="1037"/>
            <w:vAlign w:val="top"/>
          </w:tcPr>
          <w:p>
            <w:pPr>
              <w:jc w:val="left"/>
            </w:pPr>
            <w:r/>
            <w:r>
              <w:rPr>
                <w:b w:val="0"/>
                <w:sz w:val="14"/>
              </w:rPr>
              <w:t>2,239.66</w:t>
            </w:r>
          </w:p>
        </w:tc>
        <w:tc>
          <w:tcPr>
            <w:tcW w:type="dxa" w:w="1037"/>
            <w:vAlign w:val="top"/>
          </w:tcPr>
          <w:p>
            <w:pPr>
              <w:jc w:val="left"/>
            </w:pPr>
            <w:r/>
            <w:r>
              <w:rPr>
                <w:b w:val="0"/>
                <w:sz w:val="14"/>
              </w:rPr>
              <w:t>2,570.64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naive_af_gt_1e_5</w:t>
            </w:r>
          </w:p>
        </w:tc>
        <w:tc>
          <w:tcPr>
            <w:tcW w:type="dxa" w:w="1037"/>
            <w:vAlign w:val="top"/>
          </w:tcPr>
          <w:p>
            <w:pPr>
              <w:jc w:val="left"/>
            </w:pPr>
            <w:r/>
            <w:r>
              <w:rPr>
                <w:b w:val="0"/>
                <w:sz w:val="14"/>
              </w:rPr>
              <w:t>312</w:t>
            </w:r>
          </w:p>
        </w:tc>
        <w:tc>
          <w:tcPr>
            <w:tcW w:type="dxa" w:w="1037"/>
            <w:vAlign w:val="top"/>
          </w:tcPr>
          <w:p>
            <w:pPr>
              <w:jc w:val="left"/>
            </w:pPr>
            <w:r/>
            <w:r>
              <w:rPr>
                <w:b w:val="0"/>
                <w:sz w:val="14"/>
              </w:rPr>
              <w:t>2,557</w:t>
            </w:r>
          </w:p>
        </w:tc>
        <w:tc>
          <w:tcPr>
            <w:tcW w:type="dxa" w:w="1037"/>
            <w:vAlign w:val="top"/>
          </w:tcPr>
          <w:p>
            <w:pPr>
              <w:jc w:val="left"/>
            </w:pPr>
            <w:r/>
            <w:r>
              <w:rPr>
                <w:b w:val="0"/>
                <w:sz w:val="14"/>
              </w:rPr>
              <w:t>0.122</w:t>
            </w:r>
          </w:p>
        </w:tc>
        <w:tc>
          <w:tcPr>
            <w:tcW w:type="dxa" w:w="1037"/>
            <w:vAlign w:val="top"/>
          </w:tcPr>
          <w:p>
            <w:pPr>
              <w:jc w:val="left"/>
            </w:pPr>
            <w:r/>
            <w:r>
              <w:rPr>
                <w:b w:val="0"/>
                <w:sz w:val="14"/>
              </w:rPr>
              <w:t>0.11</w:t>
            </w:r>
          </w:p>
        </w:tc>
        <w:tc>
          <w:tcPr>
            <w:tcW w:type="dxa" w:w="1037"/>
            <w:vAlign w:val="top"/>
          </w:tcPr>
          <w:p>
            <w:pPr>
              <w:jc w:val="left"/>
            </w:pPr>
            <w:r/>
            <w:r>
              <w:rPr>
                <w:b w:val="0"/>
                <w:sz w:val="14"/>
              </w:rPr>
              <w:t>0.135</w:t>
            </w:r>
          </w:p>
        </w:tc>
        <w:tc>
          <w:tcPr>
            <w:tcW w:type="dxa" w:w="1037"/>
            <w:vAlign w:val="top"/>
          </w:tcPr>
          <w:p>
            <w:pPr>
              <w:jc w:val="left"/>
            </w:pPr>
            <w:r/>
            <w:r>
              <w:rPr>
                <w:b w:val="0"/>
                <w:sz w:val="14"/>
              </w:rPr>
              <w:t>1,220.18</w:t>
            </w:r>
          </w:p>
        </w:tc>
        <w:tc>
          <w:tcPr>
            <w:tcW w:type="dxa" w:w="1037"/>
            <w:vAlign w:val="top"/>
          </w:tcPr>
          <w:p>
            <w:pPr>
              <w:jc w:val="left"/>
            </w:pPr>
            <w:r/>
            <w:r>
              <w:rPr>
                <w:b w:val="0"/>
                <w:sz w:val="14"/>
              </w:rPr>
              <w:t>1,098.95</w:t>
            </w:r>
          </w:p>
        </w:tc>
        <w:tc>
          <w:tcPr>
            <w:tcW w:type="dxa" w:w="1037"/>
            <w:vAlign w:val="top"/>
          </w:tcPr>
          <w:p>
            <w:pPr>
              <w:jc w:val="left"/>
            </w:pPr>
            <w:r/>
            <w:r>
              <w:rPr>
                <w:b w:val="0"/>
                <w:sz w:val="14"/>
              </w:rPr>
              <w:t>1,352.75</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69</w:t>
            </w:r>
          </w:p>
        </w:tc>
        <w:tc>
          <w:tcPr>
            <w:tcW w:type="dxa" w:w="1037"/>
            <w:vAlign w:val="top"/>
          </w:tcPr>
          <w:p>
            <w:pPr>
              <w:jc w:val="left"/>
            </w:pPr>
            <w:r/>
            <w:r>
              <w:rPr>
                <w:b w:val="0"/>
                <w:sz w:val="14"/>
              </w:rPr>
              <w:t>2,557</w:t>
            </w:r>
          </w:p>
        </w:tc>
        <w:tc>
          <w:tcPr>
            <w:tcW w:type="dxa" w:w="1037"/>
            <w:vAlign w:val="top"/>
          </w:tcPr>
          <w:p>
            <w:pPr>
              <w:jc w:val="left"/>
            </w:pPr>
            <w:r/>
            <w:r>
              <w:rPr>
                <w:b w:val="0"/>
                <w:sz w:val="14"/>
              </w:rPr>
              <w:t>0.027</w:t>
            </w:r>
          </w:p>
        </w:tc>
        <w:tc>
          <w:tcPr>
            <w:tcW w:type="dxa" w:w="1037"/>
            <w:vAlign w:val="top"/>
          </w:tcPr>
          <w:p>
            <w:pPr>
              <w:jc w:val="left"/>
            </w:pPr>
            <w:r/>
            <w:r>
              <w:rPr>
                <w:b w:val="0"/>
                <w:sz w:val="14"/>
              </w:rPr>
              <w:t>0.0214</w:t>
            </w:r>
          </w:p>
        </w:tc>
        <w:tc>
          <w:tcPr>
            <w:tcW w:type="dxa" w:w="1037"/>
            <w:vAlign w:val="top"/>
          </w:tcPr>
          <w:p>
            <w:pPr>
              <w:jc w:val="left"/>
            </w:pPr>
            <w:r/>
            <w:r>
              <w:rPr>
                <w:b w:val="0"/>
                <w:sz w:val="14"/>
              </w:rPr>
              <w:t>0.034</w:t>
            </w:r>
          </w:p>
        </w:tc>
        <w:tc>
          <w:tcPr>
            <w:tcW w:type="dxa" w:w="1037"/>
            <w:vAlign w:val="top"/>
          </w:tcPr>
          <w:p>
            <w:pPr>
              <w:jc w:val="left"/>
            </w:pPr>
            <w:r/>
            <w:r>
              <w:rPr>
                <w:b w:val="0"/>
                <w:sz w:val="14"/>
              </w:rPr>
              <w:t>269.8</w:t>
            </w:r>
          </w:p>
        </w:tc>
        <w:tc>
          <w:tcPr>
            <w:tcW w:type="dxa" w:w="1037"/>
            <w:vAlign w:val="top"/>
          </w:tcPr>
          <w:p>
            <w:pPr>
              <w:jc w:val="left"/>
            </w:pPr>
            <w:r/>
            <w:r>
              <w:rPr>
                <w:b w:val="0"/>
                <w:sz w:val="14"/>
              </w:rPr>
              <w:t>213.8</w:t>
            </w:r>
          </w:p>
        </w:tc>
        <w:tc>
          <w:tcPr>
            <w:tcW w:type="dxa" w:w="1037"/>
            <w:vAlign w:val="top"/>
          </w:tcPr>
          <w:p>
            <w:pPr>
              <w:jc w:val="left"/>
            </w:pPr>
            <w:r/>
            <w:r>
              <w:rPr>
                <w:b w:val="0"/>
                <w:sz w:val="14"/>
              </w:rPr>
              <w:t>340.1</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2,557</w:t>
            </w:r>
          </w:p>
        </w:tc>
        <w:tc>
          <w:tcPr>
            <w:tcW w:type="dxa" w:w="1037"/>
            <w:vAlign w:val="top"/>
          </w:tcPr>
          <w:p>
            <w:pPr>
              <w:jc w:val="left"/>
            </w:pPr>
            <w:r/>
            <w:r>
              <w:rPr>
                <w:b w:val="0"/>
                <w:sz w:val="14"/>
              </w:rPr>
              <w:t>0.00117</w:t>
            </w:r>
          </w:p>
        </w:tc>
        <w:tc>
          <w:tcPr>
            <w:tcW w:type="dxa" w:w="1037"/>
            <w:vAlign w:val="top"/>
          </w:tcPr>
          <w:p>
            <w:pPr>
              <w:jc w:val="left"/>
            </w:pPr>
            <w:r/>
            <w:r>
              <w:rPr>
                <w:b w:val="0"/>
                <w:sz w:val="14"/>
              </w:rPr>
              <w:t>0.000399</w:t>
            </w:r>
          </w:p>
        </w:tc>
        <w:tc>
          <w:tcPr>
            <w:tcW w:type="dxa" w:w="1037"/>
            <w:vAlign w:val="top"/>
          </w:tcPr>
          <w:p>
            <w:pPr>
              <w:jc w:val="left"/>
            </w:pPr>
            <w:r/>
            <w:r>
              <w:rPr>
                <w:b w:val="0"/>
                <w:sz w:val="14"/>
              </w:rPr>
              <w:t>0.00344</w:t>
            </w:r>
          </w:p>
        </w:tc>
        <w:tc>
          <w:tcPr>
            <w:tcW w:type="dxa" w:w="1037"/>
            <w:vAlign w:val="top"/>
          </w:tcPr>
          <w:p>
            <w:pPr>
              <w:jc w:val="left"/>
            </w:pPr>
            <w:r/>
            <w:r>
              <w:rPr>
                <w:b w:val="0"/>
                <w:sz w:val="14"/>
              </w:rPr>
              <w:t>11.7</w:t>
            </w:r>
          </w:p>
        </w:tc>
        <w:tc>
          <w:tcPr>
            <w:tcW w:type="dxa" w:w="1037"/>
            <w:vAlign w:val="top"/>
          </w:tcPr>
          <w:p>
            <w:pPr>
              <w:jc w:val="left"/>
            </w:pPr>
            <w:r/>
            <w:r>
              <w:rPr>
                <w:b w:val="0"/>
                <w:sz w:val="14"/>
              </w:rPr>
              <w:t>3.991</w:t>
            </w:r>
          </w:p>
        </w:tc>
        <w:tc>
          <w:tcPr>
            <w:tcW w:type="dxa" w:w="1037"/>
            <w:vAlign w:val="top"/>
          </w:tcPr>
          <w:p>
            <w:pPr>
              <w:jc w:val="left"/>
            </w:pPr>
            <w:r/>
            <w:r>
              <w:rPr>
                <w:b w:val="0"/>
                <w:sz w:val="14"/>
              </w:rPr>
              <w:t>34.4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104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20.8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bl>
    <w:p/>
    <w:p>
      <w:pPr>
        <w:pStyle w:val="Heading2"/>
      </w:pPr>
      <w:r>
        <w:t>Appendix Table A15. Independent 2023-to-current cross-disease historical enrichment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vAlign w:val="top"/>
            <w:shd w:fill="D9EAF7"/>
          </w:tcPr>
          <w:p>
            <w:pPr>
              <w:jc w:val="left"/>
            </w:pPr>
            <w:r/>
            <w:r>
              <w:rPr>
                <w:b/>
                <w:sz w:val="14"/>
              </w:rPr>
              <w:t>scope</w:t>
            </w:r>
          </w:p>
        </w:tc>
        <w:tc>
          <w:tcPr>
            <w:tcW w:type="dxa" w:w="864"/>
            <w:vAlign w:val="top"/>
            <w:shd w:fill="D9EAF7"/>
          </w:tcPr>
          <w:p>
            <w:pPr>
              <w:jc w:val="left"/>
            </w:pPr>
            <w:r/>
            <w:r>
              <w:rPr>
                <w:b/>
                <w:sz w:val="14"/>
              </w:rPr>
              <w:t>target</w:t>
            </w:r>
          </w:p>
        </w:tc>
        <w:tc>
          <w:tcPr>
            <w:tcW w:type="dxa" w:w="864"/>
            <w:vAlign w:val="top"/>
            <w:shd w:fill="D9EAF7"/>
          </w:tcPr>
          <w:p>
            <w:pPr>
              <w:jc w:val="left"/>
            </w:pPr>
            <w:r/>
            <w:r>
              <w:rPr>
                <w:b/>
                <w:sz w:val="14"/>
              </w:rPr>
              <w:t>baseline_variant_count</w:t>
            </w:r>
          </w:p>
        </w:tc>
        <w:tc>
          <w:tcPr>
            <w:tcW w:type="dxa" w:w="864"/>
            <w:vAlign w:val="top"/>
            <w:shd w:fill="D9EAF7"/>
          </w:tcPr>
          <w:p>
            <w:pPr>
              <w:jc w:val="left"/>
            </w:pPr>
            <w:r/>
            <w:r>
              <w:rPr>
                <w:b/>
                <w:sz w:val="14"/>
              </w:rPr>
              <w:t>event_count</w:t>
            </w:r>
          </w:p>
        </w:tc>
        <w:tc>
          <w:tcPr>
            <w:tcW w:type="dxa" w:w="864"/>
            <w:vAlign w:val="top"/>
            <w:shd w:fill="D9EAF7"/>
          </w:tcPr>
          <w:p>
            <w:pPr>
              <w:jc w:val="left"/>
            </w:pPr>
            <w:r/>
            <w:r>
              <w:rPr>
                <w:b/>
                <w:sz w:val="14"/>
              </w:rPr>
              <w:t>overall_event_rate</w:t>
            </w:r>
          </w:p>
        </w:tc>
        <w:tc>
          <w:tcPr>
            <w:tcW w:type="dxa" w:w="864"/>
            <w:vAlign w:val="top"/>
            <w:shd w:fill="D9EAF7"/>
          </w:tcPr>
          <w:p>
            <w:pPr>
              <w:jc w:val="left"/>
            </w:pPr>
            <w:r/>
            <w:r>
              <w:rPr>
                <w:b/>
                <w:sz w:val="14"/>
              </w:rPr>
              <w:t>vital_red_count</w:t>
            </w:r>
          </w:p>
        </w:tc>
        <w:tc>
          <w:tcPr>
            <w:tcW w:type="dxa" w:w="864"/>
            <w:vAlign w:val="top"/>
            <w:shd w:fill="D9EAF7"/>
          </w:tcPr>
          <w:p>
            <w:pPr>
              <w:jc w:val="left"/>
            </w:pPr>
            <w:r/>
            <w:r>
              <w:rPr>
                <w:b/>
                <w:sz w:val="14"/>
              </w:rPr>
              <w:t>vital_red_event_count</w:t>
            </w:r>
          </w:p>
        </w:tc>
        <w:tc>
          <w:tcPr>
            <w:tcW w:type="dxa" w:w="864"/>
            <w:vAlign w:val="top"/>
            <w:shd w:fill="D9EAF7"/>
          </w:tcPr>
          <w:p>
            <w:pPr>
              <w:jc w:val="left"/>
            </w:pPr>
            <w:r/>
            <w:r>
              <w:rPr>
                <w:b/>
                <w:sz w:val="14"/>
              </w:rPr>
              <w:t>vital_red_event_rate</w:t>
            </w:r>
          </w:p>
        </w:tc>
        <w:tc>
          <w:tcPr>
            <w:tcW w:type="dxa" w:w="864"/>
            <w:vAlign w:val="top"/>
            <w:shd w:fill="D9EAF7"/>
          </w:tcPr>
          <w:p>
            <w:pPr>
              <w:jc w:val="left"/>
            </w:pPr>
            <w:r/>
            <w:r>
              <w:rPr>
                <w:b/>
                <w:sz w:val="14"/>
              </w:rPr>
              <w:t>red_enrichment_vs_overall</w:t>
            </w:r>
          </w:p>
        </w:tc>
        <w:tc>
          <w:tcPr>
            <w:tcW w:type="dxa" w:w="864"/>
            <w:vAlign w:val="top"/>
            <w:shd w:fill="D9EAF7"/>
          </w:tcPr>
          <w:p>
            <w:pPr>
              <w:jc w:val="left"/>
            </w:pPr>
            <w:r/>
            <w:r>
              <w:rPr>
                <w:b/>
                <w:sz w:val="14"/>
              </w:rPr>
              <w:t>red_enrichment_vs_nonred</w:t>
            </w:r>
          </w:p>
        </w:tc>
        <w:tc>
          <w:tcPr>
            <w:tcW w:type="dxa" w:w="864"/>
            <w:vAlign w:val="top"/>
            <w:shd w:fill="D9EAF7"/>
          </w:tcPr>
          <w:p>
            <w:pPr>
              <w:jc w:val="left"/>
            </w:pPr>
            <w:r/>
            <w:r>
              <w:rPr>
                <w:b/>
                <w:sz w:val="14"/>
              </w:rPr>
              <w:t>red_enrichment_vs_nonred_ci_low</w:t>
            </w:r>
          </w:p>
        </w:tc>
        <w:tc>
          <w:tcPr>
            <w:tcW w:type="dxa" w:w="864"/>
            <w:vAlign w:val="top"/>
            <w:shd w:fill="D9EAF7"/>
          </w:tcPr>
          <w:p>
            <w:pPr>
              <w:jc w:val="left"/>
            </w:pPr>
            <w:r/>
            <w:r>
              <w:rPr>
                <w:b/>
                <w:sz w:val="14"/>
              </w:rPr>
              <w:t>red_enrichment_vs_nonred_ci_high</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3,000</w:t>
            </w:r>
          </w:p>
        </w:tc>
        <w:tc>
          <w:tcPr>
            <w:tcW w:type="dxa" w:w="864"/>
            <w:vAlign w:val="top"/>
          </w:tcPr>
          <w:p>
            <w:pPr>
              <w:jc w:val="left"/>
            </w:pPr>
            <w:r/>
            <w:r>
              <w:rPr>
                <w:b w:val="0"/>
                <w:sz w:val="14"/>
              </w:rPr>
              <w:t>23</w:t>
            </w:r>
          </w:p>
        </w:tc>
        <w:tc>
          <w:tcPr>
            <w:tcW w:type="dxa" w:w="864"/>
            <w:vAlign w:val="top"/>
          </w:tcPr>
          <w:p>
            <w:pPr>
              <w:jc w:val="left"/>
            </w:pPr>
            <w:r/>
            <w:r>
              <w:rPr>
                <w:b w:val="0"/>
                <w:sz w:val="14"/>
              </w:rPr>
              <w:t>0.00767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10.0</w:t>
            </w:r>
          </w:p>
        </w:tc>
        <w:tc>
          <w:tcPr>
            <w:tcW w:type="dxa" w:w="864"/>
            <w:vAlign w:val="top"/>
          </w:tcPr>
          <w:p>
            <w:pPr>
              <w:jc w:val="left"/>
            </w:pPr>
            <w:r/>
            <w:r>
              <w:rPr>
                <w:b w:val="0"/>
                <w:sz w:val="14"/>
              </w:rPr>
              <w:t>10.4</w:t>
            </w:r>
          </w:p>
        </w:tc>
        <w:tc>
          <w:tcPr>
            <w:tcW w:type="dxa" w:w="864"/>
            <w:vAlign w:val="top"/>
          </w:tcPr>
          <w:p>
            <w:pPr>
              <w:jc w:val="left"/>
            </w:pPr>
            <w:r/>
            <w:r>
              <w:rPr>
                <w:b w:val="0"/>
                <w:sz w:val="14"/>
              </w:rPr>
              <w:t>2.968</w:t>
            </w:r>
          </w:p>
        </w:tc>
        <w:tc>
          <w:tcPr>
            <w:tcW w:type="dxa" w:w="864"/>
            <w:vAlign w:val="top"/>
          </w:tcPr>
          <w:p>
            <w:pPr>
              <w:jc w:val="left"/>
            </w:pPr>
            <w:r/>
            <w:r>
              <w:rPr>
                <w:b w:val="0"/>
                <w:sz w:val="14"/>
              </w:rPr>
              <w:t>68.2</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3,000</w:t>
            </w:r>
          </w:p>
        </w:tc>
        <w:tc>
          <w:tcPr>
            <w:tcW w:type="dxa" w:w="864"/>
            <w:vAlign w:val="top"/>
          </w:tcPr>
          <w:p>
            <w:pPr>
              <w:jc w:val="left"/>
            </w:pPr>
            <w:r/>
            <w:r>
              <w:rPr>
                <w:b w:val="0"/>
                <w:sz w:val="14"/>
              </w:rPr>
              <w:t>119</w:t>
            </w:r>
          </w:p>
        </w:tc>
        <w:tc>
          <w:tcPr>
            <w:tcW w:type="dxa" w:w="864"/>
            <w:vAlign w:val="top"/>
          </w:tcPr>
          <w:p>
            <w:pPr>
              <w:jc w:val="left"/>
            </w:pPr>
            <w:r/>
            <w:r>
              <w:rPr>
                <w:b w:val="0"/>
                <w:sz w:val="14"/>
              </w:rPr>
              <w:t>0.0397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1.939</w:t>
            </w:r>
          </w:p>
        </w:tc>
        <w:tc>
          <w:tcPr>
            <w:tcW w:type="dxa" w:w="864"/>
            <w:vAlign w:val="top"/>
          </w:tcPr>
          <w:p>
            <w:pPr>
              <w:jc w:val="left"/>
            </w:pPr>
            <w:r/>
            <w:r>
              <w:rPr>
                <w:b w:val="0"/>
                <w:sz w:val="14"/>
              </w:rPr>
              <w:t>1.947</w:t>
            </w:r>
          </w:p>
        </w:tc>
        <w:tc>
          <w:tcPr>
            <w:tcW w:type="dxa" w:w="864"/>
            <w:vAlign w:val="top"/>
          </w:tcPr>
          <w:p>
            <w:pPr>
              <w:jc w:val="left"/>
            </w:pPr>
            <w:r/>
            <w:r>
              <w:rPr>
                <w:b w:val="0"/>
                <w:sz w:val="14"/>
              </w:rPr>
              <w:t>0.589</w:t>
            </w:r>
          </w:p>
        </w:tc>
        <w:tc>
          <w:tcPr>
            <w:tcW w:type="dxa" w:w="864"/>
            <w:vAlign w:val="top"/>
          </w:tcPr>
          <w:p>
            <w:pPr>
              <w:jc w:val="left"/>
            </w:pPr>
            <w:r/>
            <w:r>
              <w:rPr>
                <w:b w:val="0"/>
                <w:sz w:val="14"/>
              </w:rPr>
              <w:t>12.4</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3,000</w:t>
            </w:r>
          </w:p>
        </w:tc>
        <w:tc>
          <w:tcPr>
            <w:tcW w:type="dxa" w:w="864"/>
            <w:vAlign w:val="top"/>
          </w:tcPr>
          <w:p>
            <w:pPr>
              <w:jc w:val="left"/>
            </w:pPr>
            <w:r/>
            <w:r>
              <w:rPr>
                <w:b w:val="0"/>
                <w:sz w:val="14"/>
              </w:rPr>
              <w:t>794</w:t>
            </w:r>
          </w:p>
        </w:tc>
        <w:tc>
          <w:tcPr>
            <w:tcW w:type="dxa" w:w="864"/>
            <w:vAlign w:val="top"/>
          </w:tcPr>
          <w:p>
            <w:pPr>
              <w:jc w:val="left"/>
            </w:pPr>
            <w:r/>
            <w:r>
              <w:rPr>
                <w:b w:val="0"/>
                <w:sz w:val="14"/>
              </w:rPr>
              <w:t>0.265</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3.197</w:t>
            </w:r>
          </w:p>
        </w:tc>
        <w:tc>
          <w:tcPr>
            <w:tcW w:type="dxa" w:w="864"/>
            <w:vAlign w:val="top"/>
          </w:tcPr>
          <w:p>
            <w:pPr>
              <w:jc w:val="left"/>
            </w:pPr>
            <w:r/>
            <w:r>
              <w:rPr>
                <w:b w:val="0"/>
                <w:sz w:val="14"/>
              </w:rPr>
              <w:t>3.228</w:t>
            </w:r>
          </w:p>
        </w:tc>
        <w:tc>
          <w:tcPr>
            <w:tcW w:type="dxa" w:w="864"/>
            <w:vAlign w:val="top"/>
          </w:tcPr>
          <w:p>
            <w:pPr>
              <w:jc w:val="left"/>
            </w:pPr>
            <w:r/>
            <w:r>
              <w:rPr>
                <w:b w:val="0"/>
                <w:sz w:val="14"/>
              </w:rPr>
              <w:t>2.436</w:t>
            </w:r>
          </w:p>
        </w:tc>
        <w:tc>
          <w:tcPr>
            <w:tcW w:type="dxa" w:w="864"/>
            <w:vAlign w:val="top"/>
          </w:tcPr>
          <w:p>
            <w:pPr>
              <w:jc w:val="left"/>
            </w:pPr>
            <w:r/>
            <w:r>
              <w:rPr>
                <w:b w:val="0"/>
                <w:sz w:val="14"/>
              </w:rPr>
              <w:t>4.029</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732</w:t>
            </w:r>
          </w:p>
        </w:tc>
        <w:tc>
          <w:tcPr>
            <w:tcW w:type="dxa" w:w="864"/>
            <w:vAlign w:val="top"/>
          </w:tcPr>
          <w:p>
            <w:pPr>
              <w:jc w:val="left"/>
            </w:pPr>
            <w:r/>
            <w:r>
              <w:rPr>
                <w:b w:val="0"/>
                <w:sz w:val="14"/>
              </w:rPr>
              <w:t>13</w:t>
            </w:r>
          </w:p>
        </w:tc>
        <w:tc>
          <w:tcPr>
            <w:tcW w:type="dxa" w:w="864"/>
            <w:vAlign w:val="top"/>
          </w:tcPr>
          <w:p>
            <w:pPr>
              <w:jc w:val="left"/>
            </w:pPr>
            <w:r/>
            <w:r>
              <w:rPr>
                <w:b w:val="0"/>
                <w:sz w:val="14"/>
              </w:rPr>
              <w:t>0.0178</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4.331</w:t>
            </w:r>
          </w:p>
        </w:tc>
        <w:tc>
          <w:tcPr>
            <w:tcW w:type="dxa" w:w="864"/>
            <w:vAlign w:val="top"/>
          </w:tcPr>
          <w:p>
            <w:pPr>
              <w:jc w:val="left"/>
            </w:pPr>
            <w:r/>
            <w:r>
              <w:rPr>
                <w:b w:val="0"/>
                <w:sz w:val="14"/>
              </w:rPr>
              <w:t>4.609</w:t>
            </w:r>
          </w:p>
        </w:tc>
        <w:tc>
          <w:tcPr>
            <w:tcW w:type="dxa" w:w="864"/>
            <w:vAlign w:val="top"/>
          </w:tcPr>
          <w:p>
            <w:pPr>
              <w:jc w:val="left"/>
            </w:pPr>
            <w:r/>
            <w:r>
              <w:rPr>
                <w:b w:val="0"/>
                <w:sz w:val="14"/>
              </w:rPr>
              <w:t>1.235</w:t>
            </w:r>
          </w:p>
        </w:tc>
        <w:tc>
          <w:tcPr>
            <w:tcW w:type="dxa" w:w="864"/>
            <w:vAlign w:val="top"/>
          </w:tcPr>
          <w:p>
            <w:pPr>
              <w:jc w:val="left"/>
            </w:pPr>
            <w:r/>
            <w:r>
              <w:rPr>
                <w:b w:val="0"/>
                <w:sz w:val="14"/>
              </w:rPr>
              <w:t>30.8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732</w:t>
            </w:r>
          </w:p>
        </w:tc>
        <w:tc>
          <w:tcPr>
            <w:tcW w:type="dxa" w:w="864"/>
            <w:vAlign w:val="top"/>
          </w:tcPr>
          <w:p>
            <w:pPr>
              <w:jc w:val="left"/>
            </w:pPr>
            <w:r/>
            <w:r>
              <w:rPr>
                <w:b w:val="0"/>
                <w:sz w:val="14"/>
              </w:rPr>
              <w:t>41</w:t>
            </w:r>
          </w:p>
        </w:tc>
        <w:tc>
          <w:tcPr>
            <w:tcW w:type="dxa" w:w="864"/>
            <w:vAlign w:val="top"/>
          </w:tcPr>
          <w:p>
            <w:pPr>
              <w:jc w:val="left"/>
            </w:pPr>
            <w:r/>
            <w:r>
              <w:rPr>
                <w:b w:val="0"/>
                <w:sz w:val="14"/>
              </w:rPr>
              <w:t>0.056</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1.373</w:t>
            </w:r>
          </w:p>
        </w:tc>
        <w:tc>
          <w:tcPr>
            <w:tcW w:type="dxa" w:w="864"/>
            <w:vAlign w:val="top"/>
          </w:tcPr>
          <w:p>
            <w:pPr>
              <w:jc w:val="left"/>
            </w:pPr>
            <w:r/>
            <w:r>
              <w:rPr>
                <w:b w:val="0"/>
                <w:sz w:val="14"/>
              </w:rPr>
              <w:t>1.383</w:t>
            </w:r>
          </w:p>
        </w:tc>
        <w:tc>
          <w:tcPr>
            <w:tcW w:type="dxa" w:w="864"/>
            <w:vAlign w:val="top"/>
          </w:tcPr>
          <w:p>
            <w:pPr>
              <w:jc w:val="left"/>
            </w:pPr>
            <w:r/>
            <w:r>
              <w:rPr>
                <w:b w:val="0"/>
                <w:sz w:val="14"/>
              </w:rPr>
              <w:t>0.408</w:t>
            </w:r>
          </w:p>
        </w:tc>
        <w:tc>
          <w:tcPr>
            <w:tcW w:type="dxa" w:w="864"/>
            <w:vAlign w:val="top"/>
          </w:tcPr>
          <w:p>
            <w:pPr>
              <w:jc w:val="left"/>
            </w:pPr>
            <w:r/>
            <w:r>
              <w:rPr>
                <w:b w:val="0"/>
                <w:sz w:val="14"/>
              </w:rPr>
              <w:t>8.898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732</w:t>
            </w:r>
          </w:p>
        </w:tc>
        <w:tc>
          <w:tcPr>
            <w:tcW w:type="dxa" w:w="864"/>
            <w:vAlign w:val="top"/>
          </w:tcPr>
          <w:p>
            <w:pPr>
              <w:jc w:val="left"/>
            </w:pPr>
            <w:r/>
            <w:r>
              <w:rPr>
                <w:b w:val="0"/>
                <w:sz w:val="14"/>
              </w:rPr>
              <w:t>262</w:t>
            </w:r>
          </w:p>
        </w:tc>
        <w:tc>
          <w:tcPr>
            <w:tcW w:type="dxa" w:w="864"/>
            <w:vAlign w:val="top"/>
          </w:tcPr>
          <w:p>
            <w:pPr>
              <w:jc w:val="left"/>
            </w:pPr>
            <w:r/>
            <w:r>
              <w:rPr>
                <w:b w:val="0"/>
                <w:sz w:val="14"/>
              </w:rPr>
              <w:t>0.358</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2.364</w:t>
            </w:r>
          </w:p>
        </w:tc>
        <w:tc>
          <w:tcPr>
            <w:tcW w:type="dxa" w:w="864"/>
            <w:vAlign w:val="top"/>
          </w:tcPr>
          <w:p>
            <w:pPr>
              <w:jc w:val="left"/>
            </w:pPr>
            <w:r/>
            <w:r>
              <w:rPr>
                <w:b w:val="0"/>
                <w:sz w:val="14"/>
              </w:rPr>
              <w:t>2.424</w:t>
            </w:r>
          </w:p>
        </w:tc>
        <w:tc>
          <w:tcPr>
            <w:tcW w:type="dxa" w:w="864"/>
            <w:vAlign w:val="top"/>
          </w:tcPr>
          <w:p>
            <w:pPr>
              <w:jc w:val="left"/>
            </w:pPr>
            <w:r/>
            <w:r>
              <w:rPr>
                <w:b w:val="0"/>
                <w:sz w:val="14"/>
              </w:rPr>
              <w:t>1.806</w:t>
            </w:r>
          </w:p>
        </w:tc>
        <w:tc>
          <w:tcPr>
            <w:tcW w:type="dxa" w:w="864"/>
            <w:vAlign w:val="top"/>
          </w:tcPr>
          <w:p>
            <w:pPr>
              <w:jc w:val="left"/>
            </w:pPr>
            <w:r/>
            <w:r>
              <w:rPr>
                <w:b w:val="0"/>
                <w:sz w:val="14"/>
              </w:rPr>
              <w:t>3.061</w:t>
            </w:r>
          </w:p>
        </w:tc>
      </w:tr>
    </w:tbl>
    <w:p/>
    <w:p>
      <w:pPr>
        <w:pStyle w:val="Heading2"/>
      </w:pPr>
      <w:r>
        <w:t>Appendix Table A16. VITAL-red biological contrast case studies</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variant</w:t>
            </w:r>
          </w:p>
        </w:tc>
        <w:tc>
          <w:tcPr>
            <w:tcW w:type="dxa" w:w="1481"/>
            <w:vAlign w:val="top"/>
            <w:shd w:fill="D9EAF7"/>
          </w:tcPr>
          <w:p>
            <w:pPr>
              <w:jc w:val="left"/>
            </w:pPr>
            <w:r/>
            <w:r>
              <w:rPr>
                <w:b/>
                <w:sz w:val="14"/>
              </w:rPr>
              <w:t>vital</w:t>
            </w:r>
          </w:p>
        </w:tc>
        <w:tc>
          <w:tcPr>
            <w:tcW w:type="dxa" w:w="1481"/>
            <w:vAlign w:val="top"/>
            <w:shd w:fill="D9EAF7"/>
          </w:tcPr>
          <w:p>
            <w:pPr>
              <w:jc w:val="left"/>
            </w:pPr>
            <w:r/>
            <w:r>
              <w:rPr>
                <w:b/>
                <w:sz w:val="14"/>
              </w:rPr>
              <w:t>af_signal</w:t>
            </w:r>
          </w:p>
        </w:tc>
        <w:tc>
          <w:tcPr>
            <w:tcW w:type="dxa" w:w="1481"/>
            <w:vAlign w:val="top"/>
            <w:shd w:fill="D9EAF7"/>
          </w:tcPr>
          <w:p>
            <w:pPr>
              <w:jc w:val="left"/>
            </w:pPr>
            <w:r/>
            <w:r>
              <w:rPr>
                <w:b/>
                <w:sz w:val="14"/>
              </w:rPr>
              <w:t>loeuf_constraint_argument</w:t>
            </w:r>
          </w:p>
        </w:tc>
        <w:tc>
          <w:tcPr>
            <w:tcW w:type="dxa" w:w="1481"/>
            <w:vAlign w:val="top"/>
            <w:shd w:fill="D9EAF7"/>
          </w:tcPr>
          <w:p>
            <w:pPr>
              <w:jc w:val="left"/>
            </w:pPr>
            <w:r/>
            <w:r>
              <w:rPr>
                <w:b/>
                <w:sz w:val="14"/>
              </w:rPr>
              <w:t>heart_expression</w:t>
            </w:r>
          </w:p>
        </w:tc>
        <w:tc>
          <w:tcPr>
            <w:tcW w:type="dxa" w:w="1481"/>
            <w:vAlign w:val="top"/>
            <w:shd w:fill="D9EAF7"/>
          </w:tcPr>
          <w:p>
            <w:pPr>
              <w:jc w:val="left"/>
            </w:pPr>
            <w:r/>
            <w:r>
              <w:rPr>
                <w:b/>
                <w:sz w:val="14"/>
              </w:rPr>
              <w:t>expected_mechanism</w:t>
            </w:r>
          </w:p>
        </w:tc>
        <w:tc>
          <w:tcPr>
            <w:tcW w:type="dxa" w:w="1481"/>
            <w:vAlign w:val="top"/>
            <w:shd w:fill="D9EAF7"/>
          </w:tcPr>
          <w:p>
            <w:pPr>
              <w:jc w:val="left"/>
            </w:pPr>
            <w:r/>
            <w:r>
              <w:rPr>
                <w:b/>
                <w:sz w:val="14"/>
              </w:rPr>
              <w:t>reality_interpretation</w:t>
            </w:r>
          </w:p>
        </w:tc>
      </w:tr>
      <w:tr>
        <w:tc>
          <w:tcPr>
            <w:tcW w:type="dxa" w:w="1481"/>
            <w:vAlign w:val="top"/>
          </w:tcPr>
          <w:p>
            <w:pPr>
              <w:jc w:val="left"/>
            </w:pPr>
            <w:r/>
            <w:r>
              <w:rPr>
                <w:b w:val="0"/>
                <w:sz w:val="14"/>
              </w:rPr>
              <w:t>SCN5A VCV000440850 (NM_000335.4(SCN5A):c.[3919C&gt;T;694G&gt;A])</w:t>
            </w:r>
          </w:p>
        </w:tc>
        <w:tc>
          <w:tcPr>
            <w:tcW w:type="dxa" w:w="1481"/>
            <w:vAlign w:val="top"/>
          </w:tcPr>
          <w:p>
            <w:pPr>
              <w:jc w:val="left"/>
            </w:pPr>
            <w:r/>
            <w:r>
              <w:rPr>
                <w:b w:val="0"/>
                <w:sz w:val="14"/>
              </w:rPr>
              <w:t>96.1 / red reclassification priority</w:t>
            </w:r>
          </w:p>
        </w:tc>
        <w:tc>
          <w:tcPr>
            <w:tcW w:type="dxa" w:w="1481"/>
            <w:vAlign w:val="top"/>
          </w:tcPr>
          <w:p>
            <w:pPr>
              <w:jc w:val="left"/>
            </w:pPr>
            <w:r/>
            <w:r>
              <w:rPr>
                <w:b w:val="0"/>
                <w:sz w:val="14"/>
              </w:rPr>
              <w:t>global AF=1.46e-04, AC=214; AFR popmax AF=5.68e-03, AC=190</w:t>
            </w:r>
          </w:p>
        </w:tc>
        <w:tc>
          <w:tcPr>
            <w:tcW w:type="dxa" w:w="1481"/>
            <w:vAlign w:val="top"/>
          </w:tcPr>
          <w:p>
            <w:pPr>
              <w:jc w:val="left"/>
            </w:pPr>
            <w:r/>
            <w:r>
              <w:rPr>
                <w:b w:val="0"/>
                <w:sz w:val="14"/>
              </w:rPr>
              <w:t>LOEUF=0.372 (moderately constrained)</w:t>
            </w:r>
          </w:p>
        </w:tc>
        <w:tc>
          <w:tcPr>
            <w:tcW w:type="dxa" w:w="1481"/>
            <w:vAlign w:val="top"/>
          </w:tcPr>
          <w:p>
            <w:pPr>
              <w:jc w:val="left"/>
            </w:pPr>
            <w:r/>
            <w:r>
              <w:rPr>
                <w:b w:val="0"/>
                <w:sz w:val="14"/>
              </w:rPr>
              <w:t>HPA heart muscle nTPM=41.3 (moderate)</w:t>
            </w:r>
          </w:p>
        </w:tc>
        <w:tc>
          <w:tcPr>
            <w:tcW w:type="dxa" w:w="1481"/>
            <w:vAlign w:val="top"/>
          </w:tcPr>
          <w:p>
            <w:pPr>
              <w:jc w:val="left"/>
            </w:pPr>
            <w:r/>
            <w:r>
              <w:rPr>
                <w:b w:val="0"/>
                <w:sz w:val="14"/>
              </w:rPr>
              <w:t>dominant Brugada/channelopathy label, but literature context includes drug-triggered susceptibility</w:t>
            </w:r>
          </w:p>
        </w:tc>
        <w:tc>
          <w:tcPr>
            <w:tcW w:type="dxa" w:w="1481"/>
            <w:vAlign w:val="top"/>
          </w:tcPr>
          <w:p>
            <w:pPr>
              <w:jc w:val="left"/>
            </w:pPr>
            <w:r/>
            <w:r>
              <w:rPr>
                <w:b w:val="0"/>
                <w:sz w:val="14"/>
              </w:rPr>
              <w:t>Frequency incompatible with a straightforward high-penetrance dominant Mendelian label; better framed as a context-dependent susceptibility haplotype pending expert review.</w:t>
            </w:r>
          </w:p>
        </w:tc>
      </w:tr>
      <w:tr>
        <w:tc>
          <w:tcPr>
            <w:tcW w:type="dxa" w:w="1481"/>
            <w:vAlign w:val="top"/>
          </w:tcPr>
          <w:p>
            <w:pPr>
              <w:jc w:val="left"/>
            </w:pPr>
            <w:r/>
            <w:r>
              <w:rPr>
                <w:b w:val="0"/>
                <w:sz w:val="14"/>
              </w:rPr>
              <w:t>TRDN VCV001325231 (NM_006073.4(TRDN):c.1050del (p.Glu351fs))</w:t>
            </w:r>
          </w:p>
        </w:tc>
        <w:tc>
          <w:tcPr>
            <w:tcW w:type="dxa" w:w="1481"/>
            <w:vAlign w:val="top"/>
          </w:tcPr>
          <w:p>
            <w:pPr>
              <w:jc w:val="left"/>
            </w:pPr>
            <w:r/>
            <w:r>
              <w:rPr>
                <w:b w:val="0"/>
                <w:sz w:val="14"/>
              </w:rPr>
              <w:t>74.3 / red reclassification priority</w:t>
            </w:r>
          </w:p>
        </w:tc>
        <w:tc>
          <w:tcPr>
            <w:tcW w:type="dxa" w:w="1481"/>
            <w:vAlign w:val="top"/>
          </w:tcPr>
          <w:p>
            <w:pPr>
              <w:jc w:val="left"/>
            </w:pPr>
            <w:r/>
            <w:r>
              <w:rPr>
                <w:b w:val="0"/>
                <w:sz w:val="14"/>
              </w:rPr>
              <w:t>global AF=2.77e-05, AC=40; AMR popmax AF=2.18e-04, AC=9</w:t>
            </w:r>
          </w:p>
        </w:tc>
        <w:tc>
          <w:tcPr>
            <w:tcW w:type="dxa" w:w="1481"/>
            <w:vAlign w:val="top"/>
          </w:tcPr>
          <w:p>
            <w:pPr>
              <w:jc w:val="left"/>
            </w:pPr>
            <w:r/>
            <w:r>
              <w:rPr>
                <w:b w:val="0"/>
                <w:sz w:val="14"/>
              </w:rPr>
              <w:t>LOEUF=1.359 (not LOF-constrained)</w:t>
            </w:r>
          </w:p>
        </w:tc>
        <w:tc>
          <w:tcPr>
            <w:tcW w:type="dxa" w:w="1481"/>
            <w:vAlign w:val="top"/>
          </w:tcPr>
          <w:p>
            <w:pPr>
              <w:jc w:val="left"/>
            </w:pPr>
            <w:r/>
            <w:r>
              <w:rPr>
                <w:b w:val="0"/>
                <w:sz w:val="14"/>
              </w:rPr>
              <w:t>HPA heart muscle nTPM=406.7 (high)</w:t>
            </w:r>
          </w:p>
        </w:tc>
        <w:tc>
          <w:tcPr>
            <w:tcW w:type="dxa" w:w="1481"/>
            <w:vAlign w:val="top"/>
          </w:tcPr>
          <w:p>
            <w:pPr>
              <w:jc w:val="left"/>
            </w:pPr>
            <w:r/>
            <w:r>
              <w:rPr>
                <w:b w:val="0"/>
                <w:sz w:val="14"/>
              </w:rPr>
              <w:t>recessive or biallelic null mechanism; heterozygous carrier frequency can be tolerated</w:t>
            </w:r>
          </w:p>
        </w:tc>
        <w:tc>
          <w:tcPr>
            <w:tcW w:type="dxa" w:w="1481"/>
            <w:vAlign w:val="top"/>
          </w:tcPr>
          <w:p>
            <w:pPr>
              <w:jc w:val="left"/>
            </w:pPr>
            <w:r/>
            <w:r>
              <w:rPr>
                <w:b w:val="0"/>
                <w:sz w:val="14"/>
              </w:rPr>
              <w:t>Consistent with recessive carrier frequency rather than automatic benignity; VITAL flags assertion tension, not loss of affected-state pathogenicity.</w:t>
            </w:r>
          </w:p>
        </w:tc>
      </w:tr>
      <w:tr>
        <w:tc>
          <w:tcPr>
            <w:tcW w:type="dxa" w:w="1481"/>
            <w:vAlign w:val="top"/>
          </w:tcPr>
          <w:p>
            <w:pPr>
              <w:jc w:val="left"/>
            </w:pPr>
            <w:r/>
            <w:r>
              <w:rPr>
                <w:b w:val="0"/>
                <w:sz w:val="14"/>
              </w:rPr>
              <w:t>KCNH2 VCV004535537 (NM_000238.4(KCNH2):c.2398+2T&gt;G)</w:t>
            </w:r>
          </w:p>
        </w:tc>
        <w:tc>
          <w:tcPr>
            <w:tcW w:type="dxa" w:w="1481"/>
            <w:vAlign w:val="top"/>
          </w:tcPr>
          <w:p>
            <w:pPr>
              <w:jc w:val="left"/>
            </w:pPr>
            <w:r/>
            <w:r>
              <w:rPr>
                <w:b w:val="0"/>
                <w:sz w:val="14"/>
              </w:rPr>
              <w:t>70.3 / red reclassification priority</w:t>
            </w:r>
          </w:p>
        </w:tc>
        <w:tc>
          <w:tcPr>
            <w:tcW w:type="dxa" w:w="1481"/>
            <w:vAlign w:val="top"/>
          </w:tcPr>
          <w:p>
            <w:pPr>
              <w:jc w:val="left"/>
            </w:pPr>
            <w:r/>
            <w:r>
              <w:rPr>
                <w:b w:val="0"/>
                <w:sz w:val="14"/>
              </w:rPr>
              <w:t>global AF=4.37e-05, AC=24; ASJ popmax AF=1.32e-04, AC=2</w:t>
            </w:r>
          </w:p>
        </w:tc>
        <w:tc>
          <w:tcPr>
            <w:tcW w:type="dxa" w:w="1481"/>
            <w:vAlign w:val="top"/>
          </w:tcPr>
          <w:p>
            <w:pPr>
              <w:jc w:val="left"/>
            </w:pPr>
            <w:r/>
            <w:r>
              <w:rPr>
                <w:b w:val="0"/>
                <w:sz w:val="14"/>
              </w:rPr>
              <w:t>LOEUF=0.568 (moderately constrained)</w:t>
            </w:r>
          </w:p>
        </w:tc>
        <w:tc>
          <w:tcPr>
            <w:tcW w:type="dxa" w:w="1481"/>
            <w:vAlign w:val="top"/>
          </w:tcPr>
          <w:p>
            <w:pPr>
              <w:jc w:val="left"/>
            </w:pPr>
            <w:r/>
            <w:r>
              <w:rPr>
                <w:b w:val="0"/>
                <w:sz w:val="14"/>
              </w:rPr>
              <w:t>HPA heart muscle nTPM=28.7 (moderate)</w:t>
            </w:r>
          </w:p>
        </w:tc>
        <w:tc>
          <w:tcPr>
            <w:tcW w:type="dxa" w:w="1481"/>
            <w:vAlign w:val="top"/>
          </w:tcPr>
          <w:p>
            <w:pPr>
              <w:jc w:val="left"/>
            </w:pPr>
            <w:r/>
            <w:r>
              <w:rPr>
                <w:b w:val="0"/>
                <w:sz w:val="14"/>
              </w:rPr>
              <w:t>dominant high-penetrance splice-disruption model would predict strong rarity</w:t>
            </w:r>
          </w:p>
        </w:tc>
        <w:tc>
          <w:tcPr>
            <w:tcW w:type="dxa" w:w="1481"/>
            <w:vAlign w:val="top"/>
          </w:tcPr>
          <w:p>
            <w:pPr>
              <w:jc w:val="left"/>
            </w:pPr>
            <w:r/>
            <w:r>
              <w:rPr>
                <w:b w:val="0"/>
                <w:sz w:val="14"/>
              </w:rPr>
              <w:t>Frequency tension is biologically uncomfortable in a constrained dominant gene, but the case is borderline and could reflect allele-specific evidence gaps, reduced penetrance, founder enrichment, or overcalling.</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