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 and whether discordant assertions reveal systematically misframed biology rather than random noise.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and defined a compact pathogenicity-label ontology for routing discordant assertions, not an automated reclassification engine.</w:t>
      </w:r>
    </w:p>
    <w:p>
      <w:r>
        <w:rPr>
          <w:b/>
        </w:rPr>
        <w:t>Results:</w:t>
      </w:r>
      <w:r>
        <w:t xml:space="preserve"> Only 350/1,731 variants (20.2%) had exact gnomAD allele matches, and 334 had usable AF evidence.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recurrent label-framing distortion rather than a simple error-rate estimate: carrier-compatible recessive assertions were presented as generic P/LP, context-dependent susceptibility appeared as Mendelian pathogenicity, and severe annotation sometimes substituted for mechanism-specific evidence. VITAL compressed 115 naive AF alerts to 3 red-priority review cases.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A subset of public P/LP assertions appears biologically misframed rather than merely uncertain: susceptibility is not equivalent to Mendelian disease, carrier architecture is not equivalent to dominant pathogenicity, and severe annotation is not equivalent to high penetrance. A label-state ontology makes these distortions clinically actionable as review routes while preserving expert responsibility for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may be biologically misframed: susceptibility or drug-response haplotypes can be flattened into Mendelian pathogenicity, recessive carrier states can masquerade as dominant disease assertions, and severe annotations can inflate confidence when mechanism-specific evidence is thin. We introduce VITAL as an explainable re-review prioritization framework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Non-overlap was not random.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pPr>
        <w:pStyle w:val="Heading1"/>
      </w:pPr>
      <w:r>
        <w:t>Discussion</w:t>
      </w:r>
    </w:p>
    <w:p>
      <w:r>
        <w:t>The central finding is that severe annotation does not override population evidence, and the deeper problem is pathogenicity-label distortion.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in one frame and still misleading as a generic high-penetrance P/LP label.</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 Similarly, absence from gnomAD cannot be treated uniformly as rarity because indels and duplications are underrepresented by exact allele matching.</w:t>
      </w:r>
    </w:p>
    <w:p>
      <w:r>
        <w:t>VITAL's contribution is workflow compression with explainability, but its scientific role is to make this label distortion inspectable.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misaligned.</w:t>
      </w:r>
    </w:p>
    <w:p>
      <w:r>
        <w:t>The three red-priority arrhythmia cases illustrate why a single AF threshold is insufficient and why label framing matters clinically.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The clinical consequence is not abstract. A susceptibility allele labeled as Mendelian P/LP can promote diagnostic closure, inappropriate cascade testing, and surveillance framed as monogenic disease. A recessive carrier allele interpreted without phase can imply dominant risk where none is established. An annotation-inflated severe variant can drive family testing or management before the mechanism has been adjudicated. VITAL does not measure these downstream outcomes directly, but it identifies the public assertions most capable of creating those decision risks.</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and ontology do not directly model penetrance, phase, zygosity, inheritance, phenotype specificity, segregation, MAVE/functional data, transcript rescue, NMD, or private laboratory evidence. These remain expert review tasks.</w:t>
      </w:r>
    </w:p>
    <w:p>
      <w:r>
        <w:t>Fourth,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Fifth, public ClinVar captures classification-level changes, not patient-level downstream effects. We can identify decision-risk pathways such as diagnostic closure or cascade-testing pressure, but not actual diagnosis reversal,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