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historical threshold calibration, targeted external-domain stress tests, and an independent 3,000-variant cross-disease ClinVar P/LP portability validation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In the independent 3,000-variant current cross-disease validation set, selected outside arrhythmia and previous external-panel genes, naive AF screening flagged 332 variants (11.1%; 95% CI 10.0%-12.2%), whereas VITAL red flagged 3 (0.10%; 95% CI 0.034%-0.294%), a 110.7-fold compression in urgent review calls. In the matched 3,000-variant January 2023 historical cross-disease sample, VITAL red captured only 1/23 strict P/LP-to-B/LB-or-VUS events (4.3% recall; 95% CI 0.8%-21.0%), demonstrating that VITAL red is not a sensitive predictor of future strict reclassification; specificity remained 99.6%. The expanded instability endpoint showed 11/13 red events (84.6%; 95% CI 57.8%-95.7%) with 99.9% specificity, supporting use as a narrow audit/enrichment layer rather than as a prediction model.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strict reclassification remained rare and poorly captured, while broad/expanded instability endpoints provided qualitative directional enrichment. External stress tests assessed false-positive burden outside the arrhythmia context; absence of red calls in small disease panels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Independent cross-disease validation supports portability as a high-specificity, low-recall workflow-prioritization strategy, not as a future-reclassification prediction engine; its intended clinical value is reducing false-positive re-evaluation burden,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A minimal implementation protocol is to (1) freeze the target gene list, disease mechanism, and intended clinical use; (2) run the primary VITAL profile and prespecified alternative weight profiles on local or disease-specific variant sets; (3) report red-queue size, retained/gained/lost red variants, and proxy false-positive burden under each profile; (4) choose an operational threshold based on review capacity and acceptable burden before outcome testing; and (5) lock and version the weights, AC gate, and threshold before prospective or release-to-release monitoring.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release-to-release queue stability, we compared the composition of VITAL-red sets across the January 2023 and April 2026 arrhythmia snapshots by exact VCV identifier and variant key where available. We recorded retained, gained, and lost red records, recognizing that new ClinVar submissions, changed classifications, allele-level representation changes, and gnomAD AC updates can all change queue membership. With only two historical time points, this analysis is descriptive and cannot estimate a quarterly or annual turnover rate; it is intended to make queue volatility visible.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audit future ClinVar instability without presenting VITAL as a prediction model,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r>
        <w:t>We then performed a larger independent cross-disease portability validation using 3,000 randomly sampled ClinVar P/LP variants outside the arrhythmia development genes and outside the previously used cardiomyopathy, epilepsy, and hearing-loss external panels. The sample had two prespecified strata. First, 2,000 variants were sampled from the top 100 genes by number of ClinVar P/LP submissions after exclusions; this top-100 definition was based only on ClinVar P/LP count, not on clinical importance. Second, 1,000 variants were sampled from the remaining non-arrhythmia, non-external-panel ClinVar P/LP pool. The same design was repeated for the archived January 2023 ClinVar snapshot and compared with the April 21, 2026 current snapshot for historical endpoint analysis. Sanity checks explicitly tested for arrhythmia gene leakage, overlap with the previous external panels, duplicate variation IDs, and duplicate variant keys. These cross-disease analyses were treated as portability and false-positive-burden validation. The current 2026 sample does not contain independent truth labels; the 2023-to-2026 historical sample provides independent strict and expanded endpoints, but those endpoints remain sparse and heterogeneous across disease mechanisms.</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Single-variant output example for clinical users</w:t>
      </w:r>
    </w:p>
    <w:p>
      <w:r>
        <w:t>For a one-variant clinical use case, the output should be read as a review summary rather than as an automated classification. SCN5A VCV000440850 illustrates the intended presentation:</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Output field</w:t>
            </w:r>
          </w:p>
        </w:tc>
        <w:tc>
          <w:tcPr>
            <w:tcW w:type="dxa" w:w="5184"/>
            <w:vAlign w:val="top"/>
            <w:shd w:fill="D9EAF7"/>
          </w:tcPr>
          <w:p>
            <w:pPr>
              <w:jc w:val="left"/>
            </w:pPr>
            <w:r/>
            <w:r>
              <w:rPr>
                <w:b/>
                <w:sz w:val="16"/>
              </w:rPr>
              <w:t>Example value</w:t>
            </w:r>
          </w:p>
        </w:tc>
      </w:tr>
      <w:tr>
        <w:tc>
          <w:tcPr>
            <w:tcW w:type="dxa" w:w="5184"/>
            <w:vAlign w:val="top"/>
          </w:tcPr>
          <w:p>
            <w:pPr>
              <w:jc w:val="left"/>
            </w:pPr>
            <w:r/>
            <w:r>
              <w:rPr>
                <w:b w:val="0"/>
                <w:sz w:val="16"/>
              </w:rPr>
              <w:t>Human-readable summary</w:t>
            </w:r>
          </w:p>
        </w:tc>
        <w:tc>
          <w:tcPr>
            <w:tcW w:type="dxa" w:w="5184"/>
            <w:vAlign w:val="top"/>
          </w:tcPr>
          <w:p>
            <w:pPr>
              <w:jc w:val="left"/>
            </w:pPr>
            <w:r/>
            <w:r>
              <w:rPr>
                <w:b w:val="0"/>
                <w:sz w:val="16"/>
              </w:rPr>
              <w:t>VITAL red: high AFR popmax frequency, high allele count support, weak ClinVar review; urgent expert review recommended, not automatic benign classification.</w:t>
            </w:r>
          </w:p>
        </w:tc>
      </w:tr>
      <w:tr>
        <w:tc>
          <w:tcPr>
            <w:tcW w:type="dxa" w:w="5184"/>
            <w:vAlign w:val="top"/>
          </w:tcPr>
          <w:p>
            <w:pPr>
              <w:jc w:val="left"/>
            </w:pPr>
            <w:r/>
            <w:r>
              <w:rPr>
                <w:b w:val="0"/>
                <w:sz w:val="16"/>
              </w:rPr>
              <w:t>Current ClinVar assertion</w:t>
            </w:r>
          </w:p>
        </w:tc>
        <w:tc>
          <w:tcPr>
            <w:tcW w:type="dxa" w:w="5184"/>
            <w:vAlign w:val="top"/>
          </w:tcPr>
          <w:p>
            <w:pPr>
              <w:jc w:val="left"/>
            </w:pPr>
            <w:r/>
            <w:r>
              <w:rPr>
                <w:b w:val="0"/>
                <w:sz w:val="16"/>
              </w:rPr>
              <w:t>Pathogenic; no assertion criteria provided; single submission.</w:t>
            </w:r>
          </w:p>
        </w:tc>
      </w:tr>
      <w:tr>
        <w:tc>
          <w:tcPr>
            <w:tcW w:type="dxa" w:w="5184"/>
            <w:vAlign w:val="top"/>
          </w:tcPr>
          <w:p>
            <w:pPr>
              <w:jc w:val="left"/>
            </w:pPr>
            <w:r/>
            <w:r>
              <w:rPr>
                <w:b w:val="0"/>
                <w:sz w:val="16"/>
              </w:rPr>
              <w:t>Frequency evidence</w:t>
            </w:r>
          </w:p>
        </w:tc>
        <w:tc>
          <w:tcPr>
            <w:tcW w:type="dxa" w:w="5184"/>
            <w:vAlign w:val="top"/>
          </w:tcPr>
          <w:p>
            <w:pPr>
              <w:jc w:val="left"/>
            </w:pPr>
            <w:r/>
            <w:r>
              <w:rPr>
                <w:b w:val="0"/>
                <w:sz w:val="16"/>
              </w:rPr>
              <w:t>global AF=1.46e-4, global AC=214; AFR popmax AF=5.68e-3, popmax AC=190.</w:t>
            </w:r>
          </w:p>
        </w:tc>
      </w:tr>
      <w:tr>
        <w:tc>
          <w:tcPr>
            <w:tcW w:type="dxa" w:w="5184"/>
            <w:vAlign w:val="top"/>
          </w:tcPr>
          <w:p>
            <w:pPr>
              <w:jc w:val="left"/>
            </w:pPr>
            <w:r/>
            <w:r>
              <w:rPr>
                <w:b w:val="0"/>
                <w:sz w:val="16"/>
              </w:rPr>
              <w:t>VITAL component breakdown</w:t>
            </w:r>
          </w:p>
        </w:tc>
        <w:tc>
          <w:tcPr>
            <w:tcW w:type="dxa" w:w="5184"/>
            <w:vAlign w:val="top"/>
          </w:tcPr>
          <w:p>
            <w:pPr>
              <w:jc w:val="left"/>
            </w:pPr>
            <w:r/>
            <w:r>
              <w:rPr>
                <w:b w:val="0"/>
                <w:sz w:val="16"/>
              </w:rPr>
              <w:t>AF pressure 45.0/45; AC reliability 20.0/20; popmax enrichment 7.9/10; variant-type tension 0.0/6; technical detectability 6.5/8; gene constraint 6.6/10; review fragility 10.0/10.</w:t>
            </w:r>
          </w:p>
        </w:tc>
      </w:tr>
      <w:tr>
        <w:tc>
          <w:tcPr>
            <w:tcW w:type="dxa" w:w="5184"/>
            <w:vAlign w:val="top"/>
          </w:tcPr>
          <w:p>
            <w:pPr>
              <w:jc w:val="left"/>
            </w:pPr>
            <w:r/>
            <w:r>
              <w:rPr>
                <w:b w:val="0"/>
                <w:sz w:val="16"/>
              </w:rPr>
              <w:t>Interpretation for workflow</w:t>
            </w:r>
          </w:p>
        </w:tc>
        <w:tc>
          <w:tcPr>
            <w:tcW w:type="dxa" w:w="5184"/>
            <w:vAlign w:val="top"/>
          </w:tcPr>
          <w:p>
            <w:pPr>
              <w:jc w:val="left"/>
            </w:pPr>
            <w:r/>
            <w:r>
              <w:rPr>
                <w:b w:val="0"/>
                <w:sz w:val="16"/>
              </w:rPr>
              <w:t>The variant enters the immediate re-review queue because the frequency contradiction is AC-supported and the public assertion is review-fragile. The reviewer must still assess phenotype, inheritance, segregation, functional literature, haplotype/drug-response context, and laboratory policy.</w:t>
            </w:r>
          </w:p>
        </w:tc>
      </w:tr>
    </w:tbl>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5" name="Picture 5"/>
            <wp:cNvGraphicFramePr>
              <a:graphicFrameLocks noChangeAspect="1"/>
            </wp:cNvGraphicFramePr>
            <a:graphic>
              <a:graphicData uri="http://schemas.openxmlformats.org/drawingml/2006/picture">
                <pic:pic>
                  <pic:nvPicPr>
                    <pic:cNvPr id="0" name="vital_gray_zone_workflow.png"/>
                    <pic:cNvPicPr/>
                  </pic:nvPicPr>
                  <pic:blipFill>
                    <a:blip r:embed="rId13"/>
                    <a:stretch>
                      <a:fillRect/>
                    </a:stretch>
                  </pic:blipFill>
                  <pic:spPr>
                    <a:xfrm>
                      <a:off x="0" y="0"/>
                      <a:ext cx="6217920" cy="3826190"/>
                    </a:xfrm>
                    <a:prstGeom prst="rect"/>
                  </pic:spPr>
                </pic:pic>
              </a:graphicData>
            </a:graphic>
          </wp:inline>
        </w:drawing>
      </w:r>
    </w:p>
    <w:p>
      <w:pPr>
        <w:jc w:val="center"/>
      </w:pPr>
      <w:r>
        <w:rPr>
          <w:i/>
          <w:sz w:val="18"/>
        </w:rPr>
        <w:t>Figure 5. Workflow for no-frequency-evidence gray variants.</w:t>
      </w:r>
    </w:p>
    <w:p/>
    <w:p>
      <w:r>
        <w:t>The gray no-frequency-evidence band is a managed uncertainty state, not a low-priority or green state.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Release-to-release red-queue composition was only partly stable. The January 2023 arrhythmia red set contained KCNE1 VCV001202620 and TRDN VCV001325231, whereas the April 2026 arrhythmia red set contained SCN5A VCV000440850, TRDN VCV001325231, and KCNH2 VCV004535537. The exact-VCV overlap was therefore 1 retained record (TRDN), with a Jaccard overlap of 1/4 across the two freezes. This turnover does not negate usefulness if the queue remains short, but it does mean VITAL should be monitored as a release-specific review queue rather than a static variant list. More frequent ClinVar/gnomAD release snapshots would be required to estimate whether turnover is gradual and manageable or whether queue membership is unstable across routine updates.</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6" name="Picture 6"/>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4"/>
                    <a:stretch>
                      <a:fillRect/>
                    </a:stretch>
                  </pic:blipFill>
                  <pic:spPr>
                    <a:xfrm>
                      <a:off x="0" y="0"/>
                      <a:ext cx="6217920" cy="3674225"/>
                    </a:xfrm>
                    <a:prstGeom prst="rect"/>
                  </pic:spPr>
                </pic:pic>
              </a:graphicData>
            </a:graphic>
          </wp:inline>
        </w:drawing>
      </w:r>
    </w:p>
    <w:p>
      <w:pPr>
        <w:jc w:val="center"/>
      </w:pPr>
      <w:r>
        <w:rPr>
          <w:i/>
          <w:sz w:val="18"/>
        </w:rPr>
        <w:t>Figure 6.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7" name="Picture 7"/>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15"/>
                    <a:stretch>
                      <a:fillRect/>
                    </a:stretch>
                  </pic:blipFill>
                  <pic:spPr>
                    <a:xfrm>
                      <a:off x="0" y="0"/>
                      <a:ext cx="6217920" cy="7461504"/>
                    </a:xfrm>
                    <a:prstGeom prst="rect"/>
                  </pic:spPr>
                </pic:pic>
              </a:graphicData>
            </a:graphic>
          </wp:inline>
        </w:drawing>
      </w:r>
    </w:p>
    <w:p>
      <w:pPr>
        <w:jc w:val="center"/>
      </w:pPr>
      <w:r>
        <w:rPr>
          <w:i/>
          <w:sz w:val="18"/>
        </w:rPr>
        <w:t>Figure 7. Independent 3,000-variant 2023-to-current historical validation curves.</w:t>
      </w:r>
    </w:p>
    <w:p/>
    <w:p>
      <w:r>
        <w:t>The larger current cross-disease validation sample contained 3,000 unique ClinVar P/LP variants from 726 genes after excluding all 20 arrhythmia genes and all genes used in the earlier cardiomyopathy, epilepsy, and hearing-loss stress-test panels. The enriched stratum contained 2,000 variants sampled from the top 100 genes by number of ClinVar P/LP submissions after these exclusions; the fully random stratum contained 1,000 variants from the remaining eligible ClinVar P/LP pool. Sanity checks confirmed 0 arrhythmia-gene leaks, 0 previous external-panel overlaps, and 0 duplicate variant IDs or variant keys after sampling.</w:t>
      </w:r>
    </w:p>
    <w:p>
      <w:r>
        <w:t>Frequency evidence was observed for 668/3,000 variants (22.3%; 95% CI 20.8%-23.8%). A naive popmax/global AF &gt;1e-5 screen flagged 332/3,000 variants (11.1%; 95% CI 10.0%-12.2%). Requiring AC-supported frequency evidence reduced this to 71/3,000 (2.37%; 95% CI 1.88%-2.97%). VITAL red reduced the urgent review queue to 3/3,000 variants (0.10%; 95% CI 0.034%-0.294%), equivalent to an expected 10.0 red calls per 10,000 random ClinVar P/LP variants (95% CI 3.4-29.4) and a 110.7-fold compression relative to naive AF screening. The red calls were PRG4 VCV003574703, MNS1 VCV003024123, and DYNC2H1 VCV002749617; each combined AC-supported frequency tension with weak review status rather than representing frequency alone. These variants were not adjudicated as false positives or false pathogenic assertions in this analysis; they define a compact manual-review set requiring disease-mechanism, inheritance, phenotype, and literature review. This is the desired clinical behavior for a reclassification risk prioritization framework: it creates a very small human-review queue rather than converting hundreds of population-frequency alerts into urgent work.</w:t>
      </w:r>
    </w:p>
    <w:p>
      <w:r>
        <w:t>The same sampling design applied to the January 2023 ClinVar snapshot produced 3,000 unique baseline P/LP variants, again with 0 arrhythmia leaks, 0 previous external-panel overlaps, and 0 duplicate variant IDs or keys. Baseline VITAL red flagged 13/3,000 variants (0.43%; 95% CI 0.25%-0.74%), compared with 379/3,000 naive AF flags (12.6%; 95% CI 11.5%-13.9%). Against the April 21, 2026 snapshot, 23/3,000 variants met the strict endpoint of P/LP to B/LB or VUS. VITAL red captured 1/23 strict events (recall 4.3%; 95% CI 0.8%-21.0%) with 1/13 red precision (7.7%; 95% CI 1.4%-33.3%), 99.6% specificity, and a false-positive rate of 0.40%. Thus, strict reclassification remains rare and VITAL should not be presented as a broad predictor of future downgrades.</w:t>
      </w:r>
    </w:p>
    <w:p>
      <w:r>
        <w:t>For the expanded instability endpoint (P/LP to non-P/LP, clinical-significance change, or review-status change), 794/3,000 baseline variants changed by 2026. VITAL red contained 11/13 expanded events (precision 84.6%; 95% CI 57.8%-95.7%) and achieved 99.9% specificity (95% CI 99.7%-99.98%), but recall remained low at 1.4% (95% CI 0.8%-2.5%). This confirms the main operating profile: VITAL red is a high-specificity, low-recall review-priority layer. It enriches for records with future instability under broader audit endpoints, but it does not capture most future ClinVar changes and should not be used as a stand-alone prediction model.</w:t>
      </w:r>
    </w:p>
    <w:p>
      <w:r>
        <w:t>The expanded endpoint should also be interpreted conservatively because it includes soft database-instability events. A variant can meet this endpoint through review-status change or aggregate clinical-significance text change without moving from P/LP to VUS/B/LB. The 11/13 result therefore supports the claim that VITAL red concentrates records with future ClinVar curation activity, not the stronger claim that it predicts clinically meaningful downgrades.</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8" name="Picture 8"/>
            <wp:cNvGraphicFramePr>
              <a:graphicFrameLocks noChangeAspect="1"/>
            </wp:cNvGraphicFramePr>
            <a:graphic>
              <a:graphicData uri="http://schemas.openxmlformats.org/drawingml/2006/picture">
                <pic:pic>
                  <pic:nvPicPr>
                    <pic:cNvPr id="0" name="vital_external_panel_score_distribution.png"/>
                    <pic:cNvPicPr/>
                  </pic:nvPicPr>
                  <pic:blipFill>
                    <a:blip r:embed="rId16"/>
                    <a:stretch>
                      <a:fillRect/>
                    </a:stretch>
                  </pic:blipFill>
                  <pic:spPr>
                    <a:xfrm>
                      <a:off x="0" y="0"/>
                      <a:ext cx="6217920" cy="3165487"/>
                    </a:xfrm>
                    <a:prstGeom prst="rect"/>
                  </pic:spPr>
                </pic:pic>
              </a:graphicData>
            </a:graphic>
          </wp:inline>
        </w:drawing>
      </w:r>
    </w:p>
    <w:p>
      <w:pPr>
        <w:jc w:val="center"/>
      </w:pPr>
      <w:r>
        <w:rPr>
          <w:i/>
          <w:sz w:val="18"/>
        </w:rPr>
        <w:t>Figure 8.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9" name="Picture 9"/>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7"/>
                    <a:stretch>
                      <a:fillRect/>
                    </a:stretch>
                  </pic:blipFill>
                  <pic:spPr>
                    <a:xfrm>
                      <a:off x="0" y="0"/>
                      <a:ext cx="6217920" cy="4304714"/>
                    </a:xfrm>
                    <a:prstGeom prst="rect"/>
                  </pic:spPr>
                </pic:pic>
              </a:graphicData>
            </a:graphic>
          </wp:inline>
        </w:drawing>
      </w:r>
    </w:p>
    <w:p>
      <w:pPr>
        <w:jc w:val="center"/>
      </w:pPr>
      <w:r>
        <w:rPr>
          <w:i/>
          <w:sz w:val="18"/>
        </w:rPr>
        <w:t>Figure 9. KCNH2 non-overlap diagnostic analysis.</w:t>
      </w:r>
    </w:p>
    <w:p/>
    <w:p>
      <w:pPr>
        <w:jc w:val="center"/>
      </w:pPr>
      <w:r>
        <w:drawing>
          <wp:inline xmlns:a="http://schemas.openxmlformats.org/drawingml/2006/main" xmlns:pic="http://schemas.openxmlformats.org/drawingml/2006/picture">
            <wp:extent cx="6217920" cy="3497580"/>
            <wp:docPr id="10" name="Picture 10"/>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8"/>
                    <a:stretch>
                      <a:fillRect/>
                    </a:stretch>
                  </pic:blipFill>
                  <pic:spPr>
                    <a:xfrm>
                      <a:off x="0" y="0"/>
                      <a:ext cx="6217920" cy="3497580"/>
                    </a:xfrm>
                    <a:prstGeom prst="rect"/>
                  </pic:spPr>
                </pic:pic>
              </a:graphicData>
            </a:graphic>
          </wp:inline>
        </w:drawing>
      </w:r>
    </w:p>
    <w:p>
      <w:pPr>
        <w:jc w:val="center"/>
      </w:pPr>
      <w:r>
        <w:rPr>
          <w:i/>
          <w:sz w:val="18"/>
        </w:rPr>
        <w:t>Figure 10.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 wherever it appears, including tables and conclusions.</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earlier pooled multi-domain analysis, n increased to 3,063 but red calls remained sparse. The larger independent 3,000-variant 2023 cross-disease sample made the tradeoff clearer: VITAL red captured only 1/23 strict P/LP-to-B/LB-or-VUS events, but it retained 99.6% specificity and showed strong enrichment for the expanded instability endpoint (11/13 red events). By conventional prediction standards for strict future downgrades, this is poor sensitivity. That is precisely why VITAL should be framed as an extreme-priority monitoring and burden-reduction layer, not as a broad reclassification predictor.</w:t>
      </w:r>
    </w:p>
    <w:p>
      <w:r>
        <w:t>Ninth, cross-disease validation argues against simple arrhythmia overfitting while preserving an appropriately conservative interpretation. In the current independent 3,000-variant sample outside arrhythmia and previous external-panel genes, naive AF screening produced 332 flags, whereas VITAL red produced 3. The three red calls require case-level review, but their existence is useful: the model does not become suspiciously silent outside arrhythmia, and it also does not create a large red-priority queue. The 2023 cross-disease sample showed the same pattern at a different freeze date: 379 naive AF flags versus 13 VITAL-red calls. These results strengthen the claim that VITAL reduces false-positive re-evaluation burden across heterogeneous ClinVar P/LP records. They do not prove disease-agnostic sensitivity, because recessive carrier states, founder variants, incomplete penetrance, mitochondrial mechanisms, and disease-specific thresholds may require inheritance-aware calibration. They also do not establish red-queue composition stability across routine database releases; that question requires serial snapshots, reporting retained/gained/lost red records at each update rather than only total red counts.</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r>
        <w:t>Future extensions should incorporate functional context more directly. In the current implementation, functional information enters only through HGVS-derived consequence classes and a gene-level constraint proxy. Specificity may improve if VITAL is extended with MAVE scores, transcript-aware LOF/NMD prediction, curated protein-domain or hotspot annotations, missense constraint, and disease-specific mechanism labels. These additions should be modeled as explainable modifiers of the pathogenicity tension continuum, not as hidden black-box features, because a high-frequency variant in a noncritical domain and a high-frequency variant in an active site should not necessarily receive the same review priority.</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Second, the component maxima are expert-specified rather than empirically learned. Weight-profile sensitivity showed that no new red variants appeared under five alternative profiles, but KCNH2 was unstable in 3/5 profiles; future disease-specific implementations should treat the current weights as starting priors, recalibrate against local disease architecture and laboratory policy,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independent 3,000-variant historical cross-disease sample increases the denominator and provides non-arrhythmia endpoints, but red calls remain sparse and strict reclassification recall is low; if strict future downgrades are treated as the target, VITAL red performs poorly as a predictor. The appropriate interpretation is preliminary qualitative enrichment for an extreme-priority subset rather than proof of future reclassification prediction. Fifth, the expanded instability endpoint is deliberately soft and can include review-status or aggregate-text changes without clinically meaningful downgrade; it is a curation-activity endpoint, not a clinical reclassification endpoint. Sixth,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Seventh, red-queue composition stability cannot be estimated from only two ClinVar/gnomAD freezes. The observed arrhythmia queue changed from two red variants in 2023 to three in April 2026 with one retained record; future deployments should track gained, lost, and retained red calls at every release. Eighth, pooled and random cross-disease analyses mix different disease architectures, baseline event rates, and error mechanisms. Recessive carrier states, founder alleles, incomplete penetrance, mitochondrial inheritance, and disease-specific thresholds can all change how frequency evidence should be interpreted. Ninth, cross-domain and cross-sample deduplication require operational priority rules; no red calls were removed by the reported dedupe checks, but a variant that is red in one context and non-red in another could be affected by this rule in future datasets. Tenth,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Eleventh, the small fixed external disease-domain panels should be interpreted as false-positive-burden and portability stress tests, not sensitivity analyses; without independent truth labels, they cannot show whether true reclassification candidates were missed. The larger random cross-disease validation improves portability assessment but still cannot establish disease-specific sensitivity for every clinical domain. Twelfth, the BRCA/MMR/APC panel is retained only as a descriptive comparator, not a clean negative control, because cancer-predisposition genes have founder effects, incomplete penetrance, and disease-mechanism differences from inherited arrhythmia genes. Thirteenth, VITAL does not incorporate phenotype match, segregation, family history, functional assays, MAVE scores, medication response, or laboratory-private evidence; a true pathogenic founder or low-penetrance variant can therefore be correctly prioritized as red while still requiring expert adjudication rather than automatic downgrading. Fourteenth, LOF subtype annotation was derived from ClinVar title/HGVS strings and was used only descriptively; it does not replace transcript-aware consequence annotation, NMD prediction, exon/domain context, MAVE data, or curated functional assays. Fifteenth, the KCNH2 duplication result is statistical rather than mechanistic: duplications account for much of the observed non-overlap signal, but the underlying cause remains unresolved. Sixteenth, short-read gnomAD data remain limited for structurally complex variants, and even genome data may not fully resolve duplications or complex indels. Seventeenth, the current implementation is a batch bioinformatics workflow built around APIs, caches, and CSV/TSV outputs; routine use by individual clinical geneticists will require a simpler single-variant interface or integration into existing interpretation tools.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The present implementation is best suited to laboratories with bioinformatics support.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VITAL-red review-priority calls. Historical cross-disease validation remains high-specificity and low-recall, with 13 red calls among 3,000 baseline 2023 variants and only 1/23 strict future downgrade events captured; VITAL red is therefore not a sensitive predictor of strict future reclassification. The intended clinical value is reducing false-positive variant re-evaluation burden without replacing clinician or laboratory decision-making.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data/processed/vital_red_manual_review_live_check.csv: live ClinVar manual-review snapshot for the three VITAL-red variants, including conflicts, submitter status, literature mentions, and unresolved interpretation.</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data/processed/vital_cross_disease_3000_cross_disease_validation_summary.csv: independent current 3,000-variant cross-disease portability summary with Wilson confidence intervals.</w:t>
      </w:r>
    </w:p>
    <w:p>
      <w:pPr>
        <w:pStyle w:val="ListBullet"/>
      </w:pPr>
      <w:r>
        <w:t>data/processed/vital_cross_disease_3000_cross_disease_outliers.csv: current cross-disease VITAL-red and high-score outliers for manual review.</w:t>
      </w:r>
    </w:p>
    <w:p>
      <w:pPr>
        <w:pStyle w:val="ListBullet"/>
      </w:pPr>
      <w:r>
        <w:t>data/processed/vital_cross_disease_3000_sample_sanity_checks.csv: arrhythmia leakage, previous-panel overlap, and duplicate checks for the current 3,000-variant validation sample.</w:t>
      </w:r>
    </w:p>
    <w:p>
      <w:pPr>
        <w:pStyle w:val="ListBullet"/>
      </w:pPr>
      <w:r>
        <w:t>data/processed/vital_cross_disease_3000_2023_01_to_current_vital_historical_validation.csv: independent 3,000-variant historical cross-disease validation against strict, broad, and expanded endpoints.</w:t>
      </w:r>
    </w:p>
    <w:p>
      <w:pPr>
        <w:pStyle w:val="ListBullet"/>
      </w:pPr>
      <w:r>
        <w:t>data/processed/vital_cross_disease_3000_2023_01_to_current_vital_historical_enrichment.csv: independent historical enrichment table with Wilson and Haldane-corrected intervals.</w:t>
      </w:r>
    </w:p>
    <w:p>
      <w:pPr>
        <w:pStyle w:val="ListBullet"/>
      </w:pPr>
      <w:r>
        <w:t>figures/vital_clinical_workflow.png: clinician-facing workflow schematic linking ClinVar input, VITAL risk prioritization, review queue, and expert decision-making.</w:t>
      </w:r>
    </w:p>
    <w:p>
      <w:pPr>
        <w:pStyle w:val="ListBullet"/>
      </w:pPr>
      <w:r>
        <w:t>figures/vital_gray_zone_workflow.png: no-frequency-evidence workflow schematic for gray variants.</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