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r>
        <w:rPr>
          <w:b/>
        </w:rPr>
        <w:t>Box 1. Clinical consequence of label-state collapse</w:t>
      </w:r>
    </w:p>
    <w:p>
      <w:r>
        <w:t>This illustrative scenario is a decision projection, not an observed patient case. A 25-year-old individual undergoes incidental genetic testing following evaluation for nonspecific palpitations. No definitive clinical diagnosis is established. A variant in SCN5A (VCV000440850) is reported as pathogenic in ClinVar.</w:t>
      </w:r>
    </w:p>
    <w:p>
      <w:r>
        <w:t>Under a standard Mendelian interpretation of the P/LP label, the variant is considered causative for Brugada syndrome, supporting diagnostic closure, cascade family testing, and consideration of preventive interventions.</w:t>
      </w:r>
    </w:p>
    <w:p>
      <w:r>
        <w:t>In contrast, population-aware interpretation reveals an AFR popmax allele frequency of 5.68e-3 (AC=190), incompatible with a high-penetrance Mendelian model. Under this interpretation, the variant is reframed as a susceptibility or low-penetrance allele, diagnostic closure is avoided, and management remains phenotype-driven.</w:t>
      </w:r>
    </w:p>
    <w:p>
      <w:r>
        <w:t>These two interpretations produce mutually incompatible clinical pathways from the same underlying evidence, reflecting a failure of the P/LP label to encode biological state.</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Maximum credible AF formalizes the incompatibility</w:t>
      </w:r>
    </w:p>
    <w:p>
      <w:r>
        <w:t>We next expressed the same contradiction using a maximum credible allele-frequency framework. For a rare dominant allele, the tolerated frequency can be approximated as:</w:t>
      </w:r>
    </w:p>
    <w:p>
      <w:r>
        <w:t>AF_max = (disease prevalence x allelic contribution) / (penetrance x model factor),</w:t>
      </w:r>
    </w:p>
    <w:p>
      <w:r>
        <w:t>where allelic contribution is the fraction of disease attributable to the allele and the model factor is 2 for a heterozygous diploid dominant model. This is distinct from gnomAD allele count (AC). Equivalently, an observed allele frequency is credible only if 2 x AF x penetrance does not exceed the disease prevalence attributable to that allele.</w:t>
      </w:r>
    </w:p>
    <w:p>
      <w:r>
        <w:t>Under a strict high-penetrance dominant scenario (prevalence 1/2,000; allelic contribution 10%; penetrance 50%), the maximum credible AF is 5.0e-5. SCN5A VCV000440850 exceeds this ceiling by 113.5-fold, TRDN VCV001325231 by 4.4-fold if misread as dominant, and KCNH2 VCV004535537 by 2.6-fold. Under an SCN5A-specific Brugada-like Mendelian read with penetrance relaxed to 20%, SCN5A still exceeds the ceiling by 45.4-fold. Even under a generous dominant scenario (prevalence 1/1,000; allelic contribution 20%; penetrance 10%), SCN5A remains 5.7-fold above the model ceiling, requiring penetrance below 1.8% to reconcile the observed AFR popmax AF with a dominant disease model.</w:t>
      </w:r>
    </w:p>
    <w:p>
      <w:r>
        <w:t>These calculations separate the three red cases quantitatively. SCN5A is incompatible with a high-penetrance Mendelian read across plausible assumptions. KCNH2 exceeds a high-penetrance LQTS-like ceiling but falls below a generous low-penetrance ceiling, reinforcing its borderline status. TRDN is incompatible only under a dominant misread; under carrier logic, its popmax AF of 2.18e-4 implies an approximate heterozygote carrier frequency of 4.36e-4 and a homozygote frequency of 4.76e-8, which is qualitatively compatible with a recessive/biallelic architecture. Thus, maximum credible AF does not replace VITAL; it explains why the same P/LP label must be routed into different biological states.</w:t>
      </w:r>
    </w:p>
    <w:p>
      <w:r>
        <w:t>Bayesian ACMG-style odds make the same point without changing the classification. In an illustrative Tavtigian-style calculation with prior probability 0.10, a very-strong frequency conflict can neutralize even very-strong pathogenic evidence back to the prior, while a strong frequency conflict can still be offset by very-strong pathogenic evidence. This supports the intended interpretation: frequency conflict is not an automatic downgrade, but it is strong enough to force state-aware review when the public label is weak or underspecified.</w:t>
      </w:r>
    </w:p>
    <w:p>
      <w:r>
        <w:t>Allele-count reliability also remains graded rather than binary. The approximate Poisson relative standard error is 1/sqrt(AC): SCN5A has a relative SE of 6.8% (AC=214; approximate 95% relative margin 13.4%), TRDN 15.8% (AC=40; margin 31.0%), and KCNH2 20.4% (AC=24; margin 40.0%). This explains why AC&gt;=20 is a review floor, not an evidentiary cliff, and why KCNH2 should remain explicitly borderline.</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maximum credible AF and prevalence-constraint outputs, Bayesian ACMG-style frequency-tension outputs, recessive carrier-logic outputs, allele-count reliability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