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VITAL compressed 115 naive AF alerts to 3 red-priority review cases.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Popmax-aware, AC-aware, representation-aware review prioritization makes these distortions clinically inspectable without automating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that identifies these frequency-assertion distortions for expert review without classifying variants as benign or pathogenic.</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does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identify P/LP-to-VUS/B/LB movement, but not diagnosis reversal, cascade-testing changes, surveillance changes,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