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Shield ClinVar P/LP Arrhythmia Variants from Frequency Tension: VITAL Prioritizes Re-Review</w:t>
      </w:r>
    </w:p>
    <w:p>
      <w:pPr>
        <w:pStyle w:val="Heading1"/>
      </w:pPr>
      <w:r>
        <w:t>Abstract</w:t>
      </w:r>
    </w:p>
    <w:p>
      <w:r>
        <w:rPr>
          <w:b/>
        </w:rPr>
        <w:t>Purpose:</w:t>
      </w:r>
      <w:r>
        <w:t xml:space="preserve"> Up to 35% of ClinVar P/LP LOF/splice arrhythmia variants with observed population data show population-frequency contradiction under ancestry-aware analysis. This is a clinical misinterpretation hazard, because global-AF-only workflows can miss ancestry-specific frequency tension while severe annotation can falsely reassure reviewers. We evaluated this guideline implementation gap and developed VITAL (Variant Interpretation Tension and Allele Load), an explainable review-prioritization framework for clinical laboratories with bioinformatics support.</w:t>
      </w:r>
    </w:p>
    <w:p>
      <w:r>
        <w:rPr>
          <w:b/>
        </w:rPr>
        <w:t>Methods:</w:t>
      </w:r>
      <w:r>
        <w:t xml:space="preserve"> We collapsed ClinVar P/LP records across 20 arrhythmia genes to 1,731 unique variants and cross-referenced them with gnomAD v4.1.1 exome and ancestry-specific data. VITAL explicitly models exact allele matches, allele discordance, no-record states, global AF, popmax AF, AC, variant type, technical detectability, gene context, and review fragility. It was evaluated as a human-review workflow, not as an automated classifier. Component weights were prespecified to preserve interpretability and stable behavior under sparse-event conditions; a restricted frequency-positive calibration audit checked design consistency but did not refit the score. Red-priority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The strongest biological pattern was severe-annotation frequency discordance: 92/262 AF-observed LOF/splice assertions (35.1%) had popmax/global AF &gt;1e-5, similar to missense assertions (19/66, 28.8%), and the signal persisted after excluding the recessive/biallelic arrhythmia genes CASQ2 and TRDN (57/197, 28.9%). Mechanism triage showed that this is a tension universe, not an error-rate estimate: 35/92 severe-discordant assertions were in carrier-compatible CASQ2/TRDN contexts, while only 1/57 non-recessive severe-discordant assertions was AC-supported. A naive popmax/global AF &gt;1e-5 screen flagged 115 variants; AC-supported screening flagged 9; the red-priority queue contained 3, a 97.4% reduction in actionable calls. These cases were biologically distinct: SCN5A as a high-frequency haplotype/drug-response susceptibility assertion, TRDN as a high-expression but LOEUF-tolerant recessive-carrier signal, and KCNH2 as a borderline splice assertion in a constrained dominant LQTS gene. In an independent 3,000-variant cross-disease burden audit, naive AF screening flagged 332 variants (11.1%; 95% CI 10.0%-12.2%), whereas the red-priority queue contained 3 (0.10%; 95% CI 0.034%-0.294%). Among 204 expert-panel reviewed P/LP assertions in that external set, 39 (19.1%) had naive AF tension but none were red-priority, supporting the intended specificity of the red gate for curated high-frequency exceptions. Historical audits confirmed the operating profile: high specificity, low recall, and usefulness for review-burden compression rather than broad prediction.</w:t>
      </w:r>
    </w:p>
    <w:p>
      <w:r>
        <w:rPr>
          <w:b/>
        </w:rPr>
        <w:t>Conclusion:</w:t>
      </w:r>
      <w:r>
        <w:t xml:space="preserve"> Severe annotation alone is not sufficient to override population-frequency contradiction, and global-AF-only pipelines are insufficient for frequency-based review prioritization. VITAL turns hidden frequency-assertion tension into a short, explainable laboratory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 The gap is not the existence of ACMG/AMP frequency criteria; the gap is operational implementation. Global-AF-only and absence-as-rarity workflows can systematically miss or misread the very frequency evidence that BS1/BA1-style review is meant to capture.</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 The intended users are clinical laboratories, expert panels, and research groups with bioinformatics support and responsibility for batch reinterpretation or database auditing; VITAL is not designed as a one-off decision tool for an individual clinician interpreting a single patient.</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audit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minimal Docker environment is provided for package/runtime reproducibility of cached and demo analyses.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frequency-assertion tension score for clinical re-review prioritization.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by design rather than empirically fitted. This choice preserves interpretability, avoids unstable optimization under sparse-event conditions, and matches the intended task: workflow prioritization rather than prediction. The maxima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red-priority label was not defined by the score alone. A red-priority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We use one nomenclature throughout: red-priority for urgent expert re-review, orange high-tension for scheduled batch review, yellow watchlist for monitoring, gray no-frequency evidence for representation-aware uncertainty, and green/blue for routine low-tension states. Red-priority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red-priority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laboratory decision tree.</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Workflow-concordance benchmark and threshold sweep</w:t>
      </w:r>
    </w:p>
    <w:p>
      <w:r>
        <w:t>Because prospective truth labels are unavailable for current ClinVar assertions, we defined a workflow-concordance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the red-priority gate. Its purpose is narrower: to compare how much review burden different frequency screens would generate in the same operational universe. Conventional TP/FP/FN/TN and ROC/PR outputs are retained in supplementary files for comparability, but in the main text we refer to them as workflow-concordance metrics rather than diagnostic accuracy estimates. A threshold sweep evaluated score cutoffs from 40 to 95.</w:t>
      </w:r>
    </w:p>
    <w:p>
      <w:pPr>
        <w:pStyle w:val="Heading2"/>
      </w:pPr>
      <w:r>
        <w:t>Historical reclassification enrichment and ClinVar time-series analysis</w:t>
      </w:r>
    </w:p>
    <w:p>
      <w:r>
        <w:t>To audit future ClinVar instability without presenting VITAL as a prediction model, we downloaded archived ClinVar variant_summary snapshots for January 2023, January 2024, January 2025, and April 2026.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auditing is underpowered and serves only as a directional consistency and specificity check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The intermediate snapshots were used to build VariationID-level clinical-significance trajectories rather than treating 2023 and 2026 as the only observable states. We explicitly flagged flippers, defined as P/LP variants that moved to VUS or another non-P/LP state in 2024/2025 and returned to P/LP by April 2026. These variants were retained as a separate trajectory-instability class and not counted as strict downgrades. Because variant_summary does not encode complete SCV version histories, this analysis is VCV/VariationID-level; same-submitter SCV versioning remains a stricter future validation layer.</w:t>
      </w:r>
    </w:p>
    <w:p>
      <w:r>
        <w:t>We also checked whether arrhythmia variants that were P/LP only in intermediate snapshots could create a hidden transient red-priority queue. Arrhythmia P/LP VariationIDs present in 2024/2025 but not present as P/LP in either January 2023 or April 2026 were extracted and scored separately with the same VITAL workflow.</w:t>
      </w:r>
    </w:p>
    <w:p>
      <w:r>
        <w:t>We reported threshold sweeps, workflow-concordance metrics, and event enrichment among red-priority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pPr>
        <w:pStyle w:val="Heading2"/>
      </w:pPr>
      <w:r>
        <w:t>Score interpretation, weight-consistency audit, and AC-gate audit</w:t>
      </w:r>
    </w:p>
    <w:p>
      <w:r>
        <w:t>To test whether expert-specified VITAL scores can be given an empirical workflow interpretation, we calibrated VITAL score against the 3,000-variant cross-disease historical set using the score as the only feature. We fit two monotonic post-hoc calibration layers: isotonic regression by pool-adjacent-violators algorithm and Platt-style logistic scaling. Both were evaluated by 5-fold out-of-fold prediction to avoid reporting in-sample calibration. Calibration was performed separately for strict downgrade, broad instability, and expanded instability endpoints. These calibrated probabilities should be read as probabilities of database instability endpoints, not pathogenicity, benignity, or patient-level actionability.</w:t>
      </w:r>
    </w:p>
    <w:p>
      <w:r>
        <w:t>Because unrestricted endpoint calibration conflated general ClinVar churn with frequency-assertion discordance, all weight-consistency analyses were restricted to the frequency-positive universe. Within variants with observed AF &gt;1e-5, we used three non-negative logistic probes for the expanded instability endpoint: review-only features (review fragility, single-submitter status, weak review), frequency-tension features (AF pressure, AC reliability, popmax enrichment, variant-type tension, technical detectability, and gene constraint), and the combined review-plus-tension feature set. These probes were evaluated by 5-fold out-of-fold prediction and bootstrapped confidence intervals, but they were not used to optimize, select, or replace VITAL weights. The purpose was to test whether the prespecified design structure was consistent with observed frequency-positive instability signals.</w:t>
      </w:r>
    </w:p>
    <w:p>
      <w:r>
        <w:t>We also audited the AC actionability gate across thresholds of &gt;=1, &gt;=2, &gt;=5, &gt;=10, &gt;=20, &gt;=50, and &gt;=100 in the same historical 3,000-variant set. This audit was not used to refit VITAL. It quantified how many frequency-positive records and weak-review frequency-positive records remain at each AC gate, and how strict, broad, and expanded event rates change as the gate becomes more stringent.</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red-priority cases</w:t>
      </w:r>
    </w:p>
    <w:p>
      <w:r>
        <w:t>To avoid treating the biological context as decorative metadata, we constructed a focused contrast table for the red-priority queue. The goal was not to add a new black-box score, but to ask what each frequency-positive assertion is biologically claiming. We joined red-priority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red-priority labels; they were used only to interpret the biological meaning of already-prioritized cases. Domain/transcript context was summarized as a case-level caveat rather than as fully automated protein-domain mapping, because the red-priority variants include a composite haplotype (SCN5A), a frameshift in a recessive/biallelic disease model (TRDN), and a splice-site variant where allele-specific/same-site ambiguity matters (KCNH2).</w:t>
      </w:r>
    </w:p>
    <w:p>
      <w:pPr>
        <w:pStyle w:val="Heading2"/>
      </w:pPr>
      <w:r>
        <w:t>Severe-annotation discordance and expert-panel comparator</w:t>
      </w:r>
    </w:p>
    <w:p>
      <w:r>
        <w:t>To test whether frequency tension was confined to benign-looking missense variation or extended into variants normally treated as severe by annotation, we defined a severe-annotation class comprising LOF and splice/intronic records. We compared naive frequency tension (global or popmax AF &gt;1e-5), AC-supported frequency tension, and red-priority calls across severe annotations, missense annotations, and LOF subtypes. We repeated the severe-annotation summary after excluding CASQ2 and TRDN, the canonical recessive/biallelic arrhythmia genes, and within genes with external gnomAD LOEUF upper confidence bound &lt;0.5 or &lt;0.6 where constraint metrics were available. These severe-annotation tests were descriptive biological audits and were not used to compute VITAL scores.</w:t>
      </w:r>
    </w:p>
    <w:p>
      <w:r>
        <w:t>To avoid conflating frequency discordance with interpretation error, we also performed mechanism triage of severe-discordant assertions. Categories were deliberately conservative: carrier-compatible recessive/biallelic architecture (CASQ2/TRDN), non-recessive AC-supported high-penetrance tension, non-recessive constrained-gene low-AC surveillance, and non-recessive architecture-unresolved surveillance. This triage was not a clinical adjudication of penetrance, founder effect, or pathogenicity; it was a way to separate biologically plausible explanations from unresolved frequency-assertion tension.</w:t>
      </w:r>
    </w:p>
    <w:p>
      <w:r>
        <w:t>As an external curated comparator independent of ClinVar label churn, we evaluated expert-panel reviewed P/LP assertions in the 3,000-variant cross-disease set. Expert-panel records were not treated as automatic truth labels for downgrade. They served as a specificity and stability comparator asking whether VITAL would incorrectly promote curated high-frequency exceptions into the urgent red-priority queue.</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Thus, a global-AF-only ACMG-style screen would miss 102/115 (88.7%) ancestry-aware frequency alerts detected by popmax/global analysis. Among 328 variants with complete popmax data, those same 102 variants (31.1%) were globally rare (global AF &lt;=1e-5) but population-enriched (popmax AF &gt;1e-5). This is not a marginal edge case: global AF compresses ancestry-specific signals strongly enough to hide most frequency contradictions detected by ancestry-aware screening.</w:t>
      </w:r>
    </w:p>
    <w:p>
      <w:r>
        <w:t>The central message is therefore simple: frequency tension is not rare; it is systematically hidden by global-AF-only workflows and by the tendency to treat missing frequency evidence as absence. Global-AF-only pipelines are insufficient for clinical database auditing because they can leave a high-frequency ancestry-specific P/LP assertion looking artificially rare.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The red-priority queue contained 3 variants, representing a 97.4% reduction in action-priority calls relative to the 115 naive AF flags.</w:t>
      </w:r>
    </w:p>
    <w:p>
      <w:pPr>
        <w:pStyle w:val="Heading2"/>
      </w:pPr>
      <w:r>
        <w:t>Workflow-concordance benchmark against baseline frequency screens</w:t>
      </w:r>
    </w:p>
    <w:p>
      <w:pPr>
        <w:jc w:val="center"/>
      </w:pPr>
      <w:r>
        <w:drawing>
          <wp:inline xmlns:a="http://schemas.openxmlformats.org/drawingml/2006/main" xmlns:pic="http://schemas.openxmlformats.org/drawingml/2006/picture">
            <wp:extent cx="6217920" cy="3772067"/>
            <wp:docPr id="4" name="Picture 4"/>
            <wp:cNvGraphicFramePr>
              <a:graphicFrameLocks noChangeAspect="1"/>
            </wp:cNvGraphicFramePr>
            <a:graphic>
              <a:graphicData uri="http://schemas.openxmlformats.org/drawingml/2006/picture">
                <pic:pic>
                  <pic:nvPicPr>
                    <pic:cNvPr id="0" name="arrhythmia_vital_score_model.png"/>
                    <pic:cNvPicPr/>
                  </pic:nvPicPr>
                  <pic:blipFill>
                    <a:blip r:embed="rId12"/>
                    <a:stretch>
                      <a:fillRect/>
                    </a:stretch>
                  </pic:blipFill>
                  <pic:spPr>
                    <a:xfrm>
                      <a:off x="0" y="0"/>
                      <a:ext cx="6217920" cy="3772067"/>
                    </a:xfrm>
                    <a:prstGeom prst="rect"/>
                  </pic:spPr>
                </pic:pic>
              </a:graphicData>
            </a:graphic>
          </wp:inline>
        </w:drawing>
      </w:r>
    </w:p>
    <w:p>
      <w:pPr>
        <w:jc w:val="center"/>
      </w:pPr>
      <w:r>
        <w:rPr>
          <w:i/>
          <w:sz w:val="18"/>
        </w:rPr>
        <w:t>Figure 4. VITAL score distribution and reclassification-priority bands.</w:t>
      </w:r>
    </w:p>
    <w:p/>
    <w:p>
      <w:pPr>
        <w:jc w:val="center"/>
      </w:pPr>
      <w:r>
        <w:drawing>
          <wp:inline xmlns:a="http://schemas.openxmlformats.org/drawingml/2006/main" xmlns:pic="http://schemas.openxmlformats.org/drawingml/2006/picture">
            <wp:extent cx="6217920" cy="2611526"/>
            <wp:docPr id="5" name="Picture 5"/>
            <wp:cNvGraphicFramePr>
              <a:graphicFrameLocks noChangeAspect="1"/>
            </wp:cNvGraphicFramePr>
            <a:graphic>
              <a:graphicData uri="http://schemas.openxmlformats.org/drawingml/2006/picture">
                <pic:pic>
                  <pic:nvPicPr>
                    <pic:cNvPr id="0" name="arrhythmia_vital_validation_curves.png"/>
                    <pic:cNvPicPr/>
                  </pic:nvPicPr>
                  <pic:blipFill>
                    <a:blip r:embed="rId13"/>
                    <a:stretch>
                      <a:fillRect/>
                    </a:stretch>
                  </pic:blipFill>
                  <pic:spPr>
                    <a:xfrm>
                      <a:off x="0" y="0"/>
                      <a:ext cx="6217920" cy="2611526"/>
                    </a:xfrm>
                    <a:prstGeom prst="rect"/>
                  </pic:spPr>
                </pic:pic>
              </a:graphicData>
            </a:graphic>
          </wp:inline>
        </w:drawing>
      </w:r>
    </w:p>
    <w:p>
      <w:pPr>
        <w:jc w:val="center"/>
      </w:pPr>
      <w:r>
        <w:rPr>
          <w:i/>
          <w:sz w:val="18"/>
        </w:rPr>
        <w:t>Figure 5. Workflow-concordance ROC and PR curves; proxy metrics, not diagnostic accuracy.</w:t>
      </w:r>
    </w:p>
    <w:p/>
    <w:p>
      <w:r>
        <w:t>The workflow-concordance benchmark tested whether VITAL reduces re-evaluation burden relative to baseline frequency screens. It should not be read as independent clinical validation: the positive class was defined using weak review and AC-supported frequency evidence, which also contribute to the red-priority label. This circularity makes conventional diagnostic-performance language appear stronger than it would in a fully independent truth set. We therefore report this section as workflow-concordance, not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the red-priority queue captured all 3 operational positives and sent 0 proxy negatives to urgent review; 109 high-confidence retained-P/LP proxy negatives were correctly withheld from the urgent queue. The corresponding proxy positive-concordance and capture-concordance values are both 1.00, with very wide Wilson 95% intervals (0.44-1.00) because only three operational positives exist. The popmax/global AF &gt;1e-5 baseline captured the same three operational positives but produced 53 false-positive urgent-review triggers; the AF &gt;1e-5 plus AC &gt;=20 baseline still produced 6 false positives.</w:t>
      </w:r>
    </w:p>
    <w:p>
      <w:r>
        <w:t>The threshold sweep showed that this result was not dependent on a single brittle cutoff. At VITAL score &gt;=60, all three operational positives were still captured but 2 proxy negatives entered urgent review. At cutoffs of 65 and 70, all three operational positives were captured with 0 proxy false positives. At cutoffs &gt;=75, proxy false positives remained 0 but only 1/3 operational positives was captured.</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The red-priority queue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workflow-concordance benchmark, the naive popmax/global AF &gt;1e-5 screen produced 53 false positives among 109 high-confidence retained-P/LP proxy negatives, whereas the red-priority queue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entered the red-priority queue. At AC&gt;=10, 15 variants had AC-supported signals and the same 4 entered the red-priority queue. At the prespecified AC&gt;=20 threshold, 9 variants had AC-supported signals and 3 entered the red-priority queue. At AC&gt;=50, only 3 variants had AC-supported signals and 1 remained red-priority.</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r>
        <w:t>We also varied one component weight at a time from 0.5x to 1.5x while holding the other primary weights fixed. This heatmap makes the decision space visible rather than hiding it in five profile names. Red-priority composition was most sensitive when AF pressure or AC reliability was halved, leaving only the SCN5A anchor call. At the primary weights and higher multipliers, the queue returned to SCN5A/TRDN/KCNH2. No one-weight perturbation introduced a new red-priority variant.</w:t>
      </w:r>
    </w:p>
    <w:p>
      <w:pPr>
        <w:jc w:val="center"/>
      </w:pPr>
      <w:r>
        <w:drawing>
          <wp:inline xmlns:a="http://schemas.openxmlformats.org/drawingml/2006/main" xmlns:pic="http://schemas.openxmlformats.org/drawingml/2006/picture">
            <wp:extent cx="6217920" cy="3084088"/>
            <wp:docPr id="6" name="Picture 6"/>
            <wp:cNvGraphicFramePr>
              <a:graphicFrameLocks noChangeAspect="1"/>
            </wp:cNvGraphicFramePr>
            <a:graphic>
              <a:graphicData uri="http://schemas.openxmlformats.org/drawingml/2006/picture">
                <pic:pic>
                  <pic:nvPicPr>
                    <pic:cNvPr id="0" name="arrhythmia_vital_one_weight_sensitivity_heatmap.png"/>
                    <pic:cNvPicPr/>
                  </pic:nvPicPr>
                  <pic:blipFill>
                    <a:blip r:embed="rId14"/>
                    <a:stretch>
                      <a:fillRect/>
                    </a:stretch>
                  </pic:blipFill>
                  <pic:spPr>
                    <a:xfrm>
                      <a:off x="0" y="0"/>
                      <a:ext cx="6217920" cy="3084088"/>
                    </a:xfrm>
                    <a:prstGeom prst="rect"/>
                  </pic:spPr>
                </pic:pic>
              </a:graphicData>
            </a:graphic>
          </wp:inline>
        </w:drawing>
      </w:r>
    </w:p>
    <w:p>
      <w:pPr>
        <w:jc w:val="center"/>
      </w:pPr>
      <w:r>
        <w:rPr>
          <w:i/>
          <w:sz w:val="18"/>
        </w:rPr>
        <w:t>Figure 6. VITAL one-weight sensitivity heatmap.</w:t>
      </w:r>
    </w:p>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red-priority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Red-priority</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Severe annotations do not protect against frequency discordance</w:t>
      </w:r>
    </w:p>
    <w:p>
      <w:r>
        <w:t>The central biological claim is blunt: up to 35% of ClinVar P/LP LOF/splice variants with observed population data show population-frequency contradiction under ancestry-aware analysis. Among 334 AF-observed arrhythmia P/LP variants, 115 (34.4%) had popmax/global AF &gt;1e-5. This was not confined to benign-looking missense assertions: 92/262 LOF/splice records (35.1%) were frequency-discordant, similar to missense records (19/66, 28.8%; Fisher OR=1.34, p=0.384). Within LOF subtypes, frequency discordance was present in 29/82 frameshift variants (35.4%), 33/108 stop-gained variants (30.6%), and 23/60 canonical splice variants (38.3%). Severe HGVS consequence therefore does not make a ClinVar P/LP assertion frequency-clean.</w:t>
      </w:r>
    </w:p>
    <w:p>
      <w:r>
        <w:t>This pattern was systematic rather than a single-gene artifact. Severe-annotation discordance spanned 10 arrhythmia genes. After excluding CASQ2 and TRDN, the recessive/biallelic arrhythmia genes most likely to tolerate carrier frequency, 57/197 severe annotations (28.9%) remained frequency-discordant across 8 genes. Restricting to constrained genes did not eliminate the pattern: among genes with gnomAD LOEUF upper confidence bound &lt;0.5, 24/76 severe annotations (31.6%) remained frequency-discordant. This creates a concrete clinical risk: a reviewer can see a frameshift, stop-gained, or canonical splice P/LP label and underweight a population frequency that is incompatible with the implied high-penetrance model.</w:t>
      </w:r>
    </w:p>
    <w:p>
      <w:r>
        <w:t>Mechanism triage resolves the likely reviewer question: the 35.1% severe-discordance figure should not be read as "35.1% wrong." Of 92 severe-discordant assertions, 35 (38.0%) were in CASQ2 or TRDN, where recessive/biallelic architecture can make heterozygous carrier frequency biologically compatible with disease causality in the affected state. Among the remaining non-recessive severe-discordant assertions, only 1/57 was AC-supported, the KCNH2 splice case that enters the red-priority queue. Another 24/92 (26.1%) were in strongly constrained non-recessive genes but lacked AC support and therefore belong in surveillance rather than urgent downgrade review. The remaining 32/92 (34.8%) were architecture-unresolved or lower-constraint, low-AC tension signals. Thus, the biological claim is not an error-rate claim; it is that severe annotation creates a frequency-assertion tension universe that must be routed by mechanism, AC, inheritance, and review strength.</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Mechanism triage class</w:t>
            </w:r>
          </w:p>
        </w:tc>
        <w:tc>
          <w:tcPr>
            <w:tcW w:type="dxa" w:w="2074"/>
            <w:vAlign w:val="top"/>
            <w:shd w:fill="D9EAF7"/>
          </w:tcPr>
          <w:p>
            <w:pPr>
              <w:jc w:val="left"/>
            </w:pPr>
            <w:r/>
            <w:r>
              <w:rPr>
                <w:b/>
                <w:sz w:val="16"/>
              </w:rPr>
              <w:t>N (% of severe-discordant)</w:t>
            </w:r>
          </w:p>
        </w:tc>
        <w:tc>
          <w:tcPr>
            <w:tcW w:type="dxa" w:w="2074"/>
            <w:vAlign w:val="top"/>
            <w:shd w:fill="D9EAF7"/>
          </w:tcPr>
          <w:p>
            <w:pPr>
              <w:jc w:val="left"/>
            </w:pPr>
            <w:r/>
            <w:r>
              <w:rPr>
                <w:b/>
                <w:sz w:val="16"/>
              </w:rPr>
              <w:t>Genes</w:t>
            </w:r>
          </w:p>
        </w:tc>
        <w:tc>
          <w:tcPr>
            <w:tcW w:type="dxa" w:w="2074"/>
            <w:vAlign w:val="top"/>
            <w:shd w:fill="D9EAF7"/>
          </w:tcPr>
          <w:p>
            <w:pPr>
              <w:jc w:val="left"/>
            </w:pPr>
            <w:r/>
            <w:r>
              <w:rPr>
                <w:b/>
                <w:sz w:val="16"/>
              </w:rPr>
              <w:t>AC-supported</w:t>
            </w:r>
          </w:p>
        </w:tc>
        <w:tc>
          <w:tcPr>
            <w:tcW w:type="dxa" w:w="2074"/>
            <w:vAlign w:val="top"/>
            <w:shd w:fill="D9EAF7"/>
          </w:tcPr>
          <w:p>
            <w:pPr>
              <w:jc w:val="left"/>
            </w:pPr>
            <w:r/>
            <w:r>
              <w:rPr>
                <w:b/>
                <w:sz w:val="16"/>
              </w:rPr>
              <w:t>Interpretation</w:t>
            </w:r>
          </w:p>
        </w:tc>
      </w:tr>
      <w:tr>
        <w:tc>
          <w:tcPr>
            <w:tcW w:type="dxa" w:w="2074"/>
            <w:vAlign w:val="top"/>
          </w:tcPr>
          <w:p>
            <w:pPr>
              <w:jc w:val="left"/>
            </w:pPr>
            <w:r/>
            <w:r>
              <w:rPr>
                <w:b w:val="0"/>
                <w:sz w:val="16"/>
              </w:rPr>
              <w:t>Carrier-compatible recessive/biallelic architecture</w:t>
            </w:r>
          </w:p>
        </w:tc>
        <w:tc>
          <w:tcPr>
            <w:tcW w:type="dxa" w:w="2074"/>
            <w:vAlign w:val="top"/>
          </w:tcPr>
          <w:p>
            <w:pPr>
              <w:jc w:val="left"/>
            </w:pPr>
            <w:r/>
            <w:r>
              <w:rPr>
                <w:b w:val="0"/>
                <w:sz w:val="16"/>
              </w:rPr>
              <w:t>35 (38.0%)</w:t>
            </w:r>
          </w:p>
        </w:tc>
        <w:tc>
          <w:tcPr>
            <w:tcW w:type="dxa" w:w="2074"/>
            <w:vAlign w:val="top"/>
          </w:tcPr>
          <w:p>
            <w:pPr>
              <w:jc w:val="left"/>
            </w:pPr>
            <w:r/>
            <w:r>
              <w:rPr>
                <w:b w:val="0"/>
                <w:sz w:val="16"/>
              </w:rPr>
              <w:t>CASQ2, TRDN</w:t>
            </w:r>
          </w:p>
        </w:tc>
        <w:tc>
          <w:tcPr>
            <w:tcW w:type="dxa" w:w="2074"/>
            <w:vAlign w:val="top"/>
          </w:tcPr>
          <w:p>
            <w:pPr>
              <w:jc w:val="left"/>
            </w:pPr>
            <w:r/>
            <w:r>
              <w:rPr>
                <w:b w:val="0"/>
                <w:sz w:val="16"/>
              </w:rPr>
              <w:t>6</w:t>
            </w:r>
          </w:p>
        </w:tc>
        <w:tc>
          <w:tcPr>
            <w:tcW w:type="dxa" w:w="2074"/>
            <w:vAlign w:val="top"/>
          </w:tcPr>
          <w:p>
            <w:pPr>
              <w:jc w:val="left"/>
            </w:pPr>
            <w:r/>
            <w:r>
              <w:rPr>
                <w:b w:val="0"/>
                <w:sz w:val="16"/>
              </w:rPr>
              <w:t>Compatible with carrier frequency; not misclassification by itself</w:t>
            </w:r>
          </w:p>
        </w:tc>
      </w:tr>
      <w:tr>
        <w:tc>
          <w:tcPr>
            <w:tcW w:type="dxa" w:w="2074"/>
            <w:vAlign w:val="top"/>
          </w:tcPr>
          <w:p>
            <w:pPr>
              <w:jc w:val="left"/>
            </w:pPr>
            <w:r/>
            <w:r>
              <w:rPr>
                <w:b w:val="0"/>
                <w:sz w:val="16"/>
              </w:rPr>
              <w:t>Non-recessive AC-supported high-penetrance tension</w:t>
            </w:r>
          </w:p>
        </w:tc>
        <w:tc>
          <w:tcPr>
            <w:tcW w:type="dxa" w:w="2074"/>
            <w:vAlign w:val="top"/>
          </w:tcPr>
          <w:p>
            <w:pPr>
              <w:jc w:val="left"/>
            </w:pPr>
            <w:r/>
            <w:r>
              <w:rPr>
                <w:b w:val="0"/>
                <w:sz w:val="16"/>
              </w:rPr>
              <w:t>1 (1.1%)</w:t>
            </w:r>
          </w:p>
        </w:tc>
        <w:tc>
          <w:tcPr>
            <w:tcW w:type="dxa" w:w="2074"/>
            <w:vAlign w:val="top"/>
          </w:tcPr>
          <w:p>
            <w:pPr>
              <w:jc w:val="left"/>
            </w:pPr>
            <w:r/>
            <w:r>
              <w:rPr>
                <w:b w:val="0"/>
                <w:sz w:val="16"/>
              </w:rPr>
              <w:t>KCNH2</w:t>
            </w:r>
          </w:p>
        </w:tc>
        <w:tc>
          <w:tcPr>
            <w:tcW w:type="dxa" w:w="2074"/>
            <w:vAlign w:val="top"/>
          </w:tcPr>
          <w:p>
            <w:pPr>
              <w:jc w:val="left"/>
            </w:pPr>
            <w:r/>
            <w:r>
              <w:rPr>
                <w:b w:val="0"/>
                <w:sz w:val="16"/>
              </w:rPr>
              <w:t>1</w:t>
            </w:r>
          </w:p>
        </w:tc>
        <w:tc>
          <w:tcPr>
            <w:tcW w:type="dxa" w:w="2074"/>
            <w:vAlign w:val="top"/>
          </w:tcPr>
          <w:p>
            <w:pPr>
              <w:jc w:val="left"/>
            </w:pPr>
            <w:r/>
            <w:r>
              <w:rPr>
                <w:b w:val="0"/>
                <w:sz w:val="16"/>
              </w:rPr>
              <w:t>Highest-priority mechanism adjudication</w:t>
            </w:r>
          </w:p>
        </w:tc>
      </w:tr>
      <w:tr>
        <w:tc>
          <w:tcPr>
            <w:tcW w:type="dxa" w:w="2074"/>
            <w:vAlign w:val="top"/>
          </w:tcPr>
          <w:p>
            <w:pPr>
              <w:jc w:val="left"/>
            </w:pPr>
            <w:r/>
            <w:r>
              <w:rPr>
                <w:b w:val="0"/>
                <w:sz w:val="16"/>
              </w:rPr>
              <w:t>Non-recessive constrained-gene low-AC surveillance</w:t>
            </w:r>
          </w:p>
        </w:tc>
        <w:tc>
          <w:tcPr>
            <w:tcW w:type="dxa" w:w="2074"/>
            <w:vAlign w:val="top"/>
          </w:tcPr>
          <w:p>
            <w:pPr>
              <w:jc w:val="left"/>
            </w:pPr>
            <w:r/>
            <w:r>
              <w:rPr>
                <w:b w:val="0"/>
                <w:sz w:val="16"/>
              </w:rPr>
              <w:t>24 (26.1%)</w:t>
            </w:r>
          </w:p>
        </w:tc>
        <w:tc>
          <w:tcPr>
            <w:tcW w:type="dxa" w:w="2074"/>
            <w:vAlign w:val="top"/>
          </w:tcPr>
          <w:p>
            <w:pPr>
              <w:jc w:val="left"/>
            </w:pPr>
            <w:r/>
            <w:r>
              <w:rPr>
                <w:b w:val="0"/>
                <w:sz w:val="16"/>
              </w:rPr>
              <w:t>ANK2, CACNA1C, SCN5A</w:t>
            </w:r>
          </w:p>
        </w:tc>
        <w:tc>
          <w:tcPr>
            <w:tcW w:type="dxa" w:w="2074"/>
            <w:vAlign w:val="top"/>
          </w:tcPr>
          <w:p>
            <w:pPr>
              <w:jc w:val="left"/>
            </w:pPr>
            <w:r/>
            <w:r>
              <w:rPr>
                <w:b w:val="0"/>
                <w:sz w:val="16"/>
              </w:rPr>
              <w:t>0</w:t>
            </w:r>
          </w:p>
        </w:tc>
        <w:tc>
          <w:tcPr>
            <w:tcW w:type="dxa" w:w="2074"/>
            <w:vAlign w:val="top"/>
          </w:tcPr>
          <w:p>
            <w:pPr>
              <w:jc w:val="left"/>
            </w:pPr>
            <w:r/>
            <w:r>
              <w:rPr>
                <w:b w:val="0"/>
                <w:sz w:val="16"/>
              </w:rPr>
              <w:t>Biologically uncomfortable but not urgent without AC support</w:t>
            </w:r>
          </w:p>
        </w:tc>
      </w:tr>
      <w:tr>
        <w:tc>
          <w:tcPr>
            <w:tcW w:type="dxa" w:w="2074"/>
            <w:vAlign w:val="top"/>
          </w:tcPr>
          <w:p>
            <w:pPr>
              <w:jc w:val="left"/>
            </w:pPr>
            <w:r/>
            <w:r>
              <w:rPr>
                <w:b w:val="0"/>
                <w:sz w:val="16"/>
              </w:rPr>
              <w:t>Non-recessive other low-AC or architecture-unresolved surveillance</w:t>
            </w:r>
          </w:p>
        </w:tc>
        <w:tc>
          <w:tcPr>
            <w:tcW w:type="dxa" w:w="2074"/>
            <w:vAlign w:val="top"/>
          </w:tcPr>
          <w:p>
            <w:pPr>
              <w:jc w:val="left"/>
            </w:pPr>
            <w:r/>
            <w:r>
              <w:rPr>
                <w:b w:val="0"/>
                <w:sz w:val="16"/>
              </w:rPr>
              <w:t>32 (34.8%)</w:t>
            </w:r>
          </w:p>
        </w:tc>
        <w:tc>
          <w:tcPr>
            <w:tcW w:type="dxa" w:w="2074"/>
            <w:vAlign w:val="top"/>
          </w:tcPr>
          <w:p>
            <w:pPr>
              <w:jc w:val="left"/>
            </w:pPr>
            <w:r/>
            <w:r>
              <w:rPr>
                <w:b w:val="0"/>
                <w:sz w:val="16"/>
              </w:rPr>
              <w:t>CACNB2, KCNE1, KCNH2, KCNJ2, KCNQ1</w:t>
            </w:r>
          </w:p>
        </w:tc>
        <w:tc>
          <w:tcPr>
            <w:tcW w:type="dxa" w:w="2074"/>
            <w:vAlign w:val="top"/>
          </w:tcPr>
          <w:p>
            <w:pPr>
              <w:jc w:val="left"/>
            </w:pPr>
            <w:r/>
            <w:r>
              <w:rPr>
                <w:b w:val="0"/>
                <w:sz w:val="16"/>
              </w:rPr>
              <w:t>0</w:t>
            </w:r>
          </w:p>
        </w:tc>
        <w:tc>
          <w:tcPr>
            <w:tcW w:type="dxa" w:w="2074"/>
            <w:vAlign w:val="top"/>
          </w:tcPr>
          <w:p>
            <w:pPr>
              <w:jc w:val="left"/>
            </w:pPr>
            <w:r/>
            <w:r>
              <w:rPr>
                <w:b w:val="0"/>
                <w:sz w:val="16"/>
              </w:rPr>
              <w:t>Monitor or review routinely; do not infer downgrade from frequency alone</w:t>
            </w:r>
          </w:p>
        </w:tc>
      </w:tr>
    </w:tbl>
    <w:p/>
    <w:p>
      <w:r>
        <w:t>The result is not that LOF variants are often benign. The narrower and more clinically useful conclusion is that LOF annotations are not sufficient to override population-frequency contradictions. When severe annotation, public P/LP assertion, and population frequency disagree, the correct review target is mechanism and effect size: recessive carrier state, founder enrichment, reduced penetrance, hypomorphic effect, transcript rescue or NMD escape, allele-specific evidence, or overcalling.</w:t>
      </w:r>
    </w:p>
    <w:p>
      <w:pPr>
        <w:jc w:val="center"/>
      </w:pPr>
      <w:r>
        <w:drawing>
          <wp:inline xmlns:a="http://schemas.openxmlformats.org/drawingml/2006/main" xmlns:pic="http://schemas.openxmlformats.org/drawingml/2006/picture">
            <wp:extent cx="6217920" cy="2252870"/>
            <wp:docPr id="7" name="Picture 7"/>
            <wp:cNvGraphicFramePr>
              <a:graphicFrameLocks noChangeAspect="1"/>
            </wp:cNvGraphicFramePr>
            <a:graphic>
              <a:graphicData uri="http://schemas.openxmlformats.org/drawingml/2006/picture">
                <pic:pic>
                  <pic:nvPicPr>
                    <pic:cNvPr id="0" name="vital_external_truth_biological_claim.png"/>
                    <pic:cNvPicPr/>
                  </pic:nvPicPr>
                  <pic:blipFill>
                    <a:blip r:embed="rId15"/>
                    <a:stretch>
                      <a:fillRect/>
                    </a:stretch>
                  </pic:blipFill>
                  <pic:spPr>
                    <a:xfrm>
                      <a:off x="0" y="0"/>
                      <a:ext cx="6217920" cy="2252870"/>
                    </a:xfrm>
                    <a:prstGeom prst="rect"/>
                  </pic:spPr>
                </pic:pic>
              </a:graphicData>
            </a:graphic>
          </wp:inline>
        </w:drawing>
      </w:r>
    </w:p>
    <w:p>
      <w:pPr>
        <w:jc w:val="center"/>
      </w:pPr>
      <w:r>
        <w:rPr>
          <w:i/>
          <w:sz w:val="18"/>
        </w:rPr>
        <w:t>Figure 7. Severe-annotation frequency discordance and expert-panel comparator.</w:t>
      </w:r>
    </w:p>
    <w:p/>
    <w:p>
      <w:r>
        <w:t>Expert-panel reviewed P/LP assertions in the cross-disease set provided an external curated comparator not based on future ClinVar churn. Among 204 expert-panel reviewed P/LP assertions, 39 (19.1%) had naive AF tension and 13 (6.4%) were AC-supported; 17/150 severe expert-panel assertions (11.3%) were frequency-discordant. VITAL did not designate any expert-panel record as red-priority (0/204), although three reached orange high-tension. This is the intended behavior: curated high-frequency exceptions should remain visible as tension cases without being converted into urgent downgrade calls. The comparator supports specificity of the red gate and reinforces the biological claim that frequency discordance can reflect mechanism-specific pathogenicity, founder or carrier architecture, low penetrance, or context-dependent effect rather than simple misclassification.</w:t>
      </w:r>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red-priority despite a classically severe predicted consequence, with AMR popmax AF=2.18e-4 and global AC=40. A second TRDN frameshift, VCV001074440, reached the high-tension band but did not pass the red-priority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Red-priority variants and explainable case-level prioritization</w:t>
      </w:r>
    </w:p>
    <w:p>
      <w:r>
        <w:t>The three red-priority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red-priority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1"/>
      </w:pPr>
      <w:r>
        <w:t>Biological contrast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8" name="Picture 8"/>
            <wp:cNvGraphicFramePr>
              <a:graphicFrameLocks noChangeAspect="1"/>
            </wp:cNvGraphicFramePr>
            <a:graphic>
              <a:graphicData uri="http://schemas.openxmlformats.org/drawingml/2006/picture">
                <pic:pic>
                  <pic:nvPicPr>
                    <pic:cNvPr id="0" name="vital_biological_contrast_cases.png"/>
                    <pic:cNvPicPr/>
                  </pic:nvPicPr>
                  <pic:blipFill>
                    <a:blip r:embed="rId16"/>
                    <a:stretch>
                      <a:fillRect/>
                    </a:stretch>
                  </pic:blipFill>
                  <pic:spPr>
                    <a:xfrm>
                      <a:off x="0" y="0"/>
                      <a:ext cx="6217920" cy="4239491"/>
                    </a:xfrm>
                    <a:prstGeom prst="rect"/>
                  </pic:spPr>
                </pic:pic>
              </a:graphicData>
            </a:graphic>
          </wp:inline>
        </w:drawing>
      </w:r>
    </w:p>
    <w:p>
      <w:pPr>
        <w:jc w:val="center"/>
      </w:pPr>
      <w:r>
        <w:rPr>
          <w:i/>
          <w:sz w:val="18"/>
        </w:rPr>
        <w:t>Figure 8. Red-priority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red-priority variants</w:t>
      </w:r>
    </w:p>
    <w:p>
      <w:r>
        <w:t>To close the loop between scoring and clinical review, we manually rechecked the three red-priority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red-priority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1"/>
      </w:pPr>
      <w:r>
        <w:t>Additional validation and stress tests</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9" name="Picture 9"/>
            <wp:cNvGraphicFramePr>
              <a:graphicFrameLocks noChangeAspect="1"/>
            </wp:cNvGraphicFramePr>
            <a:graphic>
              <a:graphicData uri="http://schemas.openxmlformats.org/drawingml/2006/picture">
                <pic:pic>
                  <pic:nvPicPr>
                    <pic:cNvPr id="0" name="arrhythmia_review_fragility.png"/>
                    <pic:cNvPicPr/>
                  </pic:nvPicPr>
                  <pic:blipFill>
                    <a:blip r:embed="rId17"/>
                    <a:stretch>
                      <a:fillRect/>
                    </a:stretch>
                  </pic:blipFill>
                  <pic:spPr>
                    <a:xfrm>
                      <a:off x="0" y="0"/>
                      <a:ext cx="6217920" cy="3497580"/>
                    </a:xfrm>
                    <a:prstGeom prst="rect"/>
                  </pic:spPr>
                </pic:pic>
              </a:graphicData>
            </a:graphic>
          </wp:inline>
        </w:drawing>
      </w:r>
    </w:p>
    <w:p>
      <w:pPr>
        <w:jc w:val="center"/>
      </w:pPr>
      <w:r>
        <w:rPr>
          <w:i/>
          <w:sz w:val="18"/>
        </w:rPr>
        <w:t>Figure 9. ClinVar review fragility among frequency-supported signals.</w:t>
      </w:r>
    </w:p>
    <w:p/>
    <w:p>
      <w:r>
        <w:t>Review quality was not hidden inside a black-box score. Of the 9 AC-supported frequency signals, 6 came from multiple-submitter/no-conflict records and were not automatically marked red-priority. All 3 red-priority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10" name="Picture 10"/>
            <wp:cNvGraphicFramePr>
              <a:graphicFrameLocks noChangeAspect="1"/>
            </wp:cNvGraphicFramePr>
            <a:graphic>
              <a:graphicData uri="http://schemas.openxmlformats.org/drawingml/2006/picture">
                <pic:pic>
                  <pic:nvPicPr>
                    <pic:cNvPr id="0" name="vital_gray_zone_workflow.png"/>
                    <pic:cNvPicPr/>
                  </pic:nvPicPr>
                  <pic:blipFill>
                    <a:blip r:embed="rId18"/>
                    <a:stretch>
                      <a:fillRect/>
                    </a:stretch>
                  </pic:blipFill>
                  <pic:spPr>
                    <a:xfrm>
                      <a:off x="0" y="0"/>
                      <a:ext cx="6217920" cy="3826190"/>
                    </a:xfrm>
                    <a:prstGeom prst="rect"/>
                  </pic:spPr>
                </pic:pic>
              </a:graphicData>
            </a:graphic>
          </wp:inline>
        </w:drawing>
      </w:r>
    </w:p>
    <w:p>
      <w:pPr>
        <w:jc w:val="center"/>
      </w:pPr>
      <w:r>
        <w:rPr>
          <w:i/>
          <w:sz w:val="18"/>
        </w:rPr>
        <w:t>Figure 10.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pPr>
        <w:jc w:val="center"/>
      </w:pPr>
      <w:r>
        <w:drawing>
          <wp:inline xmlns:a="http://schemas.openxmlformats.org/drawingml/2006/main" xmlns:pic="http://schemas.openxmlformats.org/drawingml/2006/picture">
            <wp:extent cx="6217920" cy="7461504"/>
            <wp:docPr id="11" name="Picture 11"/>
            <wp:cNvGraphicFramePr>
              <a:graphicFrameLocks noChangeAspect="1"/>
            </wp:cNvGraphicFramePr>
            <a:graphic>
              <a:graphicData uri="http://schemas.openxmlformats.org/drawingml/2006/picture">
                <pic:pic>
                  <pic:nvPicPr>
                    <pic:cNvPr id="0" name="arrhythmia_2023_01_to_current_vital_historical_curves.png"/>
                    <pic:cNvPicPr/>
                  </pic:nvPicPr>
                  <pic:blipFill>
                    <a:blip r:embed="rId19"/>
                    <a:stretch>
                      <a:fillRect/>
                    </a:stretch>
                  </pic:blipFill>
                  <pic:spPr>
                    <a:xfrm>
                      <a:off x="0" y="0"/>
                      <a:ext cx="6217920" cy="7461504"/>
                    </a:xfrm>
                    <a:prstGeom prst="rect"/>
                  </pic:spPr>
                </pic:pic>
              </a:graphicData>
            </a:graphic>
          </wp:inline>
        </w:drawing>
      </w:r>
    </w:p>
    <w:p>
      <w:pPr>
        <w:jc w:val="center"/>
      </w:pPr>
      <w:r>
        <w:rPr>
          <w:i/>
          <w:sz w:val="18"/>
        </w:rPr>
        <w:t>Figure 11. Historical 2023-to-current predictive validation curves.</w:t>
      </w:r>
    </w:p>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The red-priority queue identified only 2 baseline variants. Neither became B/LB or VUS under the strict endpoint (0/2; 95% CI 0.00-0.66). Under the broader endpoint, 1/2 red-priority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Historical AC gate</w:t>
            </w:r>
          </w:p>
        </w:tc>
        <w:tc>
          <w:tcPr>
            <w:tcW w:type="dxa" w:w="1728"/>
            <w:vAlign w:val="top"/>
            <w:shd w:fill="D9EAF7"/>
          </w:tcPr>
          <w:p>
            <w:pPr>
              <w:jc w:val="left"/>
            </w:pPr>
            <w:r/>
            <w:r>
              <w:rPr>
                <w:b/>
                <w:sz w:val="16"/>
              </w:rPr>
              <w:t>Red-priority count</w:t>
            </w:r>
          </w:p>
        </w:tc>
        <w:tc>
          <w:tcPr>
            <w:tcW w:type="dxa" w:w="1728"/>
            <w:vAlign w:val="top"/>
            <w:shd w:fill="D9EAF7"/>
          </w:tcPr>
          <w:p>
            <w:pPr>
              <w:jc w:val="left"/>
            </w:pPr>
            <w:r/>
            <w:r>
              <w:rPr>
                <w:b/>
                <w:sz w:val="16"/>
              </w:rPr>
              <w:t>Red-priority variants</w:t>
            </w:r>
          </w:p>
        </w:tc>
        <w:tc>
          <w:tcPr>
            <w:tcW w:type="dxa" w:w="1728"/>
            <w:vAlign w:val="top"/>
            <w:shd w:fill="D9EAF7"/>
          </w:tcPr>
          <w:p>
            <w:pPr>
              <w:jc w:val="left"/>
            </w:pPr>
            <w:r/>
            <w:r>
              <w:rPr>
                <w:b/>
                <w:sz w:val="16"/>
              </w:rPr>
              <w:t>Strict events captured</w:t>
            </w:r>
          </w:p>
        </w:tc>
        <w:tc>
          <w:tcPr>
            <w:tcW w:type="dxa" w:w="1728"/>
            <w:vAlign w:val="top"/>
            <w:shd w:fill="D9EAF7"/>
          </w:tcPr>
          <w:p>
            <w:pPr>
              <w:jc w:val="left"/>
            </w:pPr>
            <w:r/>
            <w:r>
              <w:rPr>
                <w:b/>
                <w:sz w:val="16"/>
              </w:rPr>
              <w:t>Broad events captured</w:t>
            </w:r>
          </w:p>
        </w:tc>
        <w:tc>
          <w:tcPr>
            <w:tcW w:type="dxa" w:w="1728"/>
            <w:vAlign w:val="top"/>
            <w:shd w:fill="D9EAF7"/>
          </w:tcPr>
          <w:p>
            <w:pPr>
              <w:jc w:val="left"/>
            </w:pPr>
            <w:r/>
            <w:r>
              <w:rPr>
                <w:b/>
                <w:sz w:val="16"/>
              </w:rPr>
              <w:t>Expanded instability captured</w:t>
            </w:r>
          </w:p>
        </w:tc>
      </w:tr>
      <w:tr>
        <w:tc>
          <w:tcPr>
            <w:tcW w:type="dxa" w:w="1728"/>
            <w:vAlign w:val="top"/>
          </w:tcPr>
          <w:p>
            <w:pPr>
              <w:jc w:val="left"/>
            </w:pPr>
            <w:r/>
            <w:r>
              <w:rPr>
                <w:b w:val="0"/>
                <w:sz w:val="16"/>
              </w:rPr>
              <w:t>AC&gt;=5</w:t>
            </w:r>
          </w:p>
        </w:tc>
        <w:tc>
          <w:tcPr>
            <w:tcW w:type="dxa" w:w="1728"/>
            <w:vAlign w:val="top"/>
          </w:tcPr>
          <w:p>
            <w:pPr>
              <w:jc w:val="left"/>
            </w:pPr>
            <w:r/>
            <w:r>
              <w:rPr>
                <w:b w:val="0"/>
                <w:sz w:val="16"/>
              </w:rPr>
              <w:t>3</w:t>
            </w:r>
          </w:p>
        </w:tc>
        <w:tc>
          <w:tcPr>
            <w:tcW w:type="dxa" w:w="1728"/>
            <w:vAlign w:val="top"/>
          </w:tcPr>
          <w:p>
            <w:pPr>
              <w:jc w:val="left"/>
            </w:pPr>
            <w:r/>
            <w:r>
              <w:rPr>
                <w:b w:val="0"/>
                <w:sz w:val="16"/>
              </w:rPr>
              <w:t>ANK2, KCNE1, TRDN</w:t>
            </w:r>
          </w:p>
        </w:tc>
        <w:tc>
          <w:tcPr>
            <w:tcW w:type="dxa" w:w="1728"/>
            <w:vAlign w:val="top"/>
          </w:tcPr>
          <w:p>
            <w:pPr>
              <w:jc w:val="left"/>
            </w:pPr>
            <w:r/>
            <w:r>
              <w:rPr>
                <w:b w:val="0"/>
                <w:sz w:val="16"/>
              </w:rPr>
              <w:t>0/3</w:t>
            </w:r>
          </w:p>
        </w:tc>
        <w:tc>
          <w:tcPr>
            <w:tcW w:type="dxa" w:w="1728"/>
            <w:vAlign w:val="top"/>
          </w:tcPr>
          <w:p>
            <w:pPr>
              <w:jc w:val="left"/>
            </w:pPr>
            <w:r/>
            <w:r>
              <w:rPr>
                <w:b w:val="0"/>
                <w:sz w:val="16"/>
              </w:rPr>
              <w:t>1/3</w:t>
            </w:r>
          </w:p>
        </w:tc>
        <w:tc>
          <w:tcPr>
            <w:tcW w:type="dxa" w:w="1728"/>
            <w:vAlign w:val="top"/>
          </w:tcPr>
          <w:p>
            <w:pPr>
              <w:jc w:val="left"/>
            </w:pPr>
            <w:r/>
            <w:r>
              <w:rPr>
                <w:b w:val="0"/>
                <w:sz w:val="16"/>
              </w:rPr>
              <w:t>2/3</w:t>
            </w:r>
          </w:p>
        </w:tc>
      </w:tr>
      <w:tr>
        <w:tc>
          <w:tcPr>
            <w:tcW w:type="dxa" w:w="1728"/>
            <w:vAlign w:val="top"/>
          </w:tcPr>
          <w:p>
            <w:pPr>
              <w:jc w:val="left"/>
            </w:pPr>
            <w:r/>
            <w:r>
              <w:rPr>
                <w:b w:val="0"/>
                <w:sz w:val="16"/>
              </w:rPr>
              <w:t>AC&gt;=10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AC&gt;=20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AC&gt;=50</w:t>
            </w:r>
          </w:p>
        </w:tc>
        <w:tc>
          <w:tcPr>
            <w:tcW w:type="dxa" w:w="1728"/>
            <w:vAlign w:val="top"/>
          </w:tcPr>
          <w:p>
            <w:pPr>
              <w:jc w:val="left"/>
            </w:pPr>
            <w:r/>
            <w:r>
              <w:rPr>
                <w:b w:val="0"/>
                <w:sz w:val="16"/>
              </w:rPr>
              <w:t>1</w:t>
            </w:r>
          </w:p>
        </w:tc>
        <w:tc>
          <w:tcPr>
            <w:tcW w:type="dxa" w:w="1728"/>
            <w:vAlign w:val="top"/>
          </w:tcPr>
          <w:p>
            <w:pPr>
              <w:jc w:val="left"/>
            </w:pPr>
            <w:r/>
            <w:r>
              <w:rPr>
                <w:b w:val="0"/>
                <w:sz w:val="16"/>
              </w:rPr>
              <w:t>KCNE1</w:t>
            </w:r>
          </w:p>
        </w:tc>
        <w:tc>
          <w:tcPr>
            <w:tcW w:type="dxa" w:w="1728"/>
            <w:vAlign w:val="top"/>
          </w:tcPr>
          <w:p>
            <w:pPr>
              <w:jc w:val="left"/>
            </w:pPr>
            <w:r/>
            <w:r>
              <w:rPr>
                <w:b w:val="0"/>
                <w:sz w:val="16"/>
              </w:rPr>
              <w:t>0/1</w:t>
            </w:r>
          </w:p>
        </w:tc>
        <w:tc>
          <w:tcPr>
            <w:tcW w:type="dxa" w:w="1728"/>
            <w:vAlign w:val="top"/>
          </w:tcPr>
          <w:p>
            <w:pPr>
              <w:jc w:val="left"/>
            </w:pPr>
            <w:r/>
            <w:r>
              <w:rPr>
                <w:b w:val="0"/>
                <w:sz w:val="16"/>
              </w:rPr>
              <w:t>1/1</w:t>
            </w:r>
          </w:p>
        </w:tc>
        <w:tc>
          <w:tcPr>
            <w:tcW w:type="dxa" w:w="1728"/>
            <w:vAlign w:val="top"/>
          </w:tcPr>
          <w:p>
            <w:pPr>
              <w:jc w:val="left"/>
            </w:pPr>
            <w:r/>
            <w:r>
              <w:rPr>
                <w:b w:val="0"/>
                <w:sz w:val="16"/>
              </w:rPr>
              <w:t>1/1</w:t>
            </w:r>
          </w:p>
        </w:tc>
      </w:tr>
    </w:tbl>
    <w:p/>
    <w:p>
      <w:r>
        <w:t>This table is not a claim that AC&gt;=20 is empirically optimal. It shows that AC&gt;=20 behaves like AC&gt;=10 in the historical arrhythmia slice while avoiding the lower-AC ANK2 addition at AC&gt;=5. The AC gate is therefore an operational robustness filter, not a scoring feature.</w:t>
      </w:r>
    </w:p>
    <w:p>
      <w:r>
        <w:t>The sparse red-set design also limits statistical power. With only 3 red-priority calls, a one-sided binomial enrichment screen against the independent strict-event background of 23/3,000 (0.77%) has only 27.1% probability of observing at least one event if the true red-event rate is 10%, 48.8% if the true rate is 20%, and 65.7% if the true rate is 30%. Against a higher broad-event background such as the arrhythmia 113/1,669 rate (6.8%), demonstrating enrichment at alpha=0.05 would require at least 2/3 red events; power would be only 10.4% if the true red-event rate were 20% and 50.0% if it were 50%. These numbers explain why historical validation should be read as a specificity and queue-stability audit rather than as a powered prediction experiment.</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Temporal classification stability analysis</w:t>
      </w:r>
    </w:p>
    <w:p>
      <w:r>
        <w:t>The four-snapshot trajectory audit separated monotonic downgrades from transient classification instability. In the 3,000-variant cross-disease historical set, 25 variants met the strict P/LP to B/LB-or-VUS endpoint by April 2026, 125 met the broader non-P/LP/conflicting/other/missing endpoint, and 675 met the expanded endpoint that also counted review-status or aggregate-text changes. No variants followed a P/LP to VUS to P/LP trajectory. However, 9 variants followed a broader P/LP to non-P/LP to P/LP pattern, most commonly through transient conflicting status. None of the 13 cross-disease red-priority variants were flippers.</w:t>
      </w:r>
    </w:p>
    <w:p>
      <w:r>
        <w:t>The arrhythmia panel showed the same pattern. Among 1,669 January 2023 arrhythmia P/LP variants, 18 met the strict endpoint, 121 met the broad endpoint, and 347 met the expanded endpoint. Again, no P/LP to VUS to P/LP flippers were observed. Eight broader P/LP to non-P/LP to P/LP flippers were identified; one was TRDN VCV001325231, which followed P/LP -&gt; P/LP -&gt; other -&gt; P/LP. This makes TRDN a trajectory-instability case, but not a strict downgrade.</w:t>
      </w:r>
    </w:p>
    <w:p>
      <w:r>
        <w:t>The current red-priority arrhythmia cases had distinct trajectories. TRDN VCV001325231 was present throughout the series and returned to P/LP by April 2026 after a transient "no classifications from unflagged records"/other state in January 2025. KCNH2 VCV004535537 was absent from the 2023, 2024, and 2025 bulk variant_summary snapshots and appeared as P/LP by April 2026, consistent with a later red-gate entry rather than a baseline instability event. SCN5A VCV000440850 was present in the current VITAL/VCV-derived cache but was not found in the archived bulk variant_summary snapshots, including April 2026; it is therefore treated as representation/mapping instability in the bulk snapshot audit rather than as an interpretable four-point clinical-significance trajectory.</w:t>
      </w:r>
    </w:p>
    <w:p>
      <w:r>
        <w:t>We identified 33 arrhythmia variants that transiently entered the P/LP classification space in 2024-2025 but were not P/LP in the 2023 baseline and were no longer P/LP in the April 2026 snapshot. These non-persistent assertions represent a distinct instability class separate from strict reclassification trajectories. Retrospective VITAL scoring showed that none of these variants reached the red actionability threshold, and only one variant, KCNQ1 VCV000067060, reached the orange high-tension band. This indicates that transient P/LP assertions are not uniformly driven by population-frequency contradiction signals and therefore are not expected to be systematically prioritized by VITAL.</w:t>
      </w:r>
    </w:p>
    <w:p>
      <w:pPr>
        <w:pStyle w:val="Heading2"/>
      </w:pPr>
      <w:r>
        <w:t>Multi-domain historical audit and alignment sanity checks</w:t>
      </w:r>
    </w:p>
    <w:p>
      <w:r>
        <w:t>The expanded historical dataset combined arrhythmia, cardiomyopathy, epilepsy, hearing loss, and random ClinVar P/LP records, yielding 3,063 pooled-deduplicated variants after prespecified duplicate and cross-domain leakage checks. No red-priority rows were removed by deduplication. Cardiomyopathy, epilepsy, and hearing-loss panels contributed no red-priority calls at the AC&gt;=20 gate; arrhythmia and random ClinVar P/LP contributed two each.</w:t>
      </w:r>
    </w:p>
    <w:p>
      <w:r>
        <w:t>Pooled results were consistent with the arrhythmia-only message but remained sparse. The strict endpoint stayed negative: 0/4 red-priority variants became B/LB/VUS despite 24 strict events overall. For the broad endpoint, 2/4 red-priority variants destabilized compared with 174/3,063 overall (50.0%, 95% CI 15.0%-85.0%; 8.80x enrichment). For the expanded endpoint, 3/4 red-priority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burden audit on 3,000 ClinVar P/LP variants</w:t>
      </w:r>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The red-priority queue contained 3/3,000 variants (0.10%; 95% CI 0.034%-0.294%), equivalent to a 110.7-fold compression relative to naive AF screening. The red-priority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The baseline red-priority queue contained 13/3,000 variants (0.43%; 95% CI 0.25%-0.74%) compared with 379/3,000 naive AF flags (12.6%; 95% CI 11.5%-13.9%). By April 2026, red-priority captured only 1/23 strict P/LP-to-B/LB-or-VUS events (4.3% recall; 95% CI 0.8%-21.0%) but achieved 99.6% specificity. Under the expanded instability endpoint, 11/13 red-priority calls changed (84.6%; 95% CI 57.8%-95.7%) with 99.9% specificity, while recall remained only 1.4%. This confirms the operating profile: red-priority enriches a tiny audit queue but is not a broad future-downgrade predictor.</w:t>
      </w:r>
    </w:p>
    <w:p>
      <w:pPr>
        <w:pStyle w:val="Heading2"/>
      </w:pPr>
      <w:r>
        <w:t>Post-hoc score calibration supports workflow interpretation, not downgrade prediction</w:t>
      </w:r>
    </w:p>
    <w:p>
      <w:r>
        <w:t>Post-hoc calibration gave the most useful interpretation when the endpoint was expanded database instability rather than strict clinical downgrade. Using 5-fold out-of-fold calibration on the 3,000-variant historical cross-disease set, Platt scaling modestly improved the expanded-endpoint Brier score (0.192 vs 0.195 for the uncalibrated base-rate model) and produced low calibration error (ECE=0.008). A VITAL score near the current red threshold mapped to an expanded-instability probability of approximately 50% by Platt scaling: 49.5% at score 70 and 51.1% at score 74. This is clinically interpretable as "substantial chance of database instability or review-status change," not as probability of benign reclassification.</w:t>
      </w:r>
    </w:p>
    <w:p>
      <w:r>
        <w:t>The same calibration was not useful for strict downgrades. For the strict P/LP-to-B/LB-or-VUS endpoint, Platt scaling did not improve over the base-rate model (Brier score 0.00761 vs 0.00761), and a VITAL score of 74 mapped to only 3.0% strict-downgrade probability. This is exactly the desired conclusion for framing: VITAL score can be used as a workflow-instability and burden-compression signal, but it should not be sold as a strict future-downgrade predictor.</w:t>
      </w:r>
    </w:p>
    <w:p>
      <w:pPr>
        <w:jc w:val="center"/>
      </w:pPr>
      <w:r>
        <w:drawing>
          <wp:inline xmlns:a="http://schemas.openxmlformats.org/drawingml/2006/main" xmlns:pic="http://schemas.openxmlformats.org/drawingml/2006/picture">
            <wp:extent cx="6217920" cy="2302933"/>
            <wp:docPr id="12" name="Picture 12"/>
            <wp:cNvGraphicFramePr>
              <a:graphicFrameLocks noChangeAspect="1"/>
            </wp:cNvGraphicFramePr>
            <a:graphic>
              <a:graphicData uri="http://schemas.openxmlformats.org/drawingml/2006/picture">
                <pic:pic>
                  <pic:nvPicPr>
                    <pic:cNvPr id="0" name="vital_cross_disease_3000_score_calibration.png"/>
                    <pic:cNvPicPr/>
                  </pic:nvPicPr>
                  <pic:blipFill>
                    <a:blip r:embed="rId20"/>
                    <a:stretch>
                      <a:fillRect/>
                    </a:stretch>
                  </pic:blipFill>
                  <pic:spPr>
                    <a:xfrm>
                      <a:off x="0" y="0"/>
                      <a:ext cx="6217920" cy="2302933"/>
                    </a:xfrm>
                    <a:prstGeom prst="rect"/>
                  </pic:spPr>
                </pic:pic>
              </a:graphicData>
            </a:graphic>
          </wp:inline>
        </w:drawing>
      </w:r>
    </w:p>
    <w:p>
      <w:pPr>
        <w:jc w:val="center"/>
      </w:pPr>
      <w:r>
        <w:rPr>
          <w:i/>
          <w:sz w:val="18"/>
        </w:rPr>
        <w:t>Figure 12. VITAL score calibration on historical cross-disease data.</w:t>
      </w:r>
    </w:p>
    <w:p/>
    <w:p>
      <w:pPr>
        <w:pStyle w:val="Heading2"/>
      </w:pPr>
      <w:r>
        <w:t>Restricted weight-consistency audit</w:t>
      </w:r>
    </w:p>
    <w:p>
      <w:r>
        <w:t>The expanded endpoint can capture general ClinVar maintenance events, so unrestricted calibration would partly learn review-status churn rather than the biological question VITAL is designed to prioritize. We therefore performed weight-comparison analyses only within the frequency-positive universe: 379 historical cross-disease variants with observed AF &gt;1e-5, of which 156 (41.2%) met the expanded instability endpoint.</w:t>
      </w:r>
    </w:p>
    <w:p>
      <w:r>
        <w:t>The calibration audit was not used to search for better weights. It asked a narrower consistency question: once the analysis is restricted to variants with real frequency tension, do frequency-tension features contribute signal beyond review metadata? The answer was yes. Review-only probes achieved PR AUC 0.555 (95% bootstrap CI 0.482-0.645), while the combined review-plus-tension probe reached PR AUC 0.622 (95% CI 0.537-0.712). We report these values as audit statistics, not as evidence that VITAL should be refit as a predictive model.</w:t>
      </w:r>
    </w:p>
    <w:p>
      <w:r>
        <w:t>Feature dominance supported the intended design. In the combined probe, standardized frequency-tension coefficients summed to 1.75 compared with 1.10 for review features (tension:review ratio 1.60). The strongest tension contributions were technical detectability, variant-type tension, gene constraint, and AC reliability, rather than raw AF magnitude alone. This is consistent with the prespecified weighting scheme, in which frequency-based and representation-aware components form the primary signal and review status acts as a modifier/gate rather than the main driver. Because the endpoint is proxy-based and sparse, the component weights were not fitted to outcome data by design.</w:t>
      </w:r>
    </w:p>
    <w:p>
      <w:pPr>
        <w:jc w:val="center"/>
      </w:pPr>
      <w:r>
        <w:drawing>
          <wp:inline xmlns:a="http://schemas.openxmlformats.org/drawingml/2006/main" xmlns:pic="http://schemas.openxmlformats.org/drawingml/2006/picture">
            <wp:extent cx="6217920" cy="1925549"/>
            <wp:docPr id="13" name="Picture 13"/>
            <wp:cNvGraphicFramePr>
              <a:graphicFrameLocks noChangeAspect="1"/>
            </wp:cNvGraphicFramePr>
            <a:graphic>
              <a:graphicData uri="http://schemas.openxmlformats.org/drawingml/2006/picture">
                <pic:pic>
                  <pic:nvPicPr>
                    <pic:cNvPr id="0" name="vital_cross_disease_3000_restricted_calibration_models.png"/>
                    <pic:cNvPicPr/>
                  </pic:nvPicPr>
                  <pic:blipFill>
                    <a:blip r:embed="rId21"/>
                    <a:stretch>
                      <a:fillRect/>
                    </a:stretch>
                  </pic:blipFill>
                  <pic:spPr>
                    <a:xfrm>
                      <a:off x="0" y="0"/>
                      <a:ext cx="6217920" cy="1925549"/>
                    </a:xfrm>
                    <a:prstGeom prst="rect"/>
                  </pic:spPr>
                </pic:pic>
              </a:graphicData>
            </a:graphic>
          </wp:inline>
        </w:drawing>
      </w:r>
    </w:p>
    <w:p>
      <w:pPr>
        <w:jc w:val="center"/>
      </w:pPr>
      <w:r>
        <w:rPr>
          <w:i/>
          <w:sz w:val="18"/>
        </w:rPr>
        <w:t>Figure 13. Restricted weight-consistency audit.</w:t>
      </w:r>
    </w:p>
    <w:p/>
    <w:p>
      <w:r>
        <w:t>The AC-gate audit supported AC&gt;=20 as an operational robustness threshold rather than an empirically optimized cutoff. In the 3,000-variant historical set, AC&gt;=10 retained 112 AC-supported frequency flags and 44 weak-review frequency flags; AC&gt;=20 reduced these to 87 and 29, respectively, while expanded event rate remained similar (41.1% vs 40.2%). AC&gt;=50 further reduced the queue to 37 frequency flags and 12 weak-review flags but became more aggressive than needed for the intended review-capacity gate. Thus, AC&gt;=20 is best described as a conservative actionability gate that reduces low-count review burden without being learned into the VITAL score.</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14" name="Picture 14"/>
            <wp:cNvGraphicFramePr>
              <a:graphicFrameLocks noChangeAspect="1"/>
            </wp:cNvGraphicFramePr>
            <a:graphic>
              <a:graphicData uri="http://schemas.openxmlformats.org/drawingml/2006/picture">
                <pic:pic>
                  <pic:nvPicPr>
                    <pic:cNvPr id="0" name="vital_external_panel_score_distribution.png"/>
                    <pic:cNvPicPr/>
                  </pic:nvPicPr>
                  <pic:blipFill>
                    <a:blip r:embed="rId22"/>
                    <a:stretch>
                      <a:fillRect/>
                    </a:stretch>
                  </pic:blipFill>
                  <pic:spPr>
                    <a:xfrm>
                      <a:off x="0" y="0"/>
                      <a:ext cx="6217920" cy="3165487"/>
                    </a:xfrm>
                    <a:prstGeom prst="rect"/>
                  </pic:spPr>
                </pic:pic>
              </a:graphicData>
            </a:graphic>
          </wp:inline>
        </w:drawing>
      </w:r>
    </w:p>
    <w:p>
      <w:pPr>
        <w:jc w:val="center"/>
      </w:pPr>
      <w:r>
        <w:rPr>
          <w:i/>
          <w:sz w:val="18"/>
        </w:rPr>
        <w:t>Figure 14.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The result is narrower but clinically useful: random ClinVar and hearing-loss samples had large naive AF queues (94/500 and 76/300), but no red-priority calls; the BRCA/MMR/APC descriptive comparator also had no red-priority or score &gt;=60 calls. VITAL therefore compresses review burden without manufacturing large urgent queues outside the development context, while leaving sensitivity claims to future independently adjudicated datasets.</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5" name="Picture 15"/>
            <wp:cNvGraphicFramePr>
              <a:graphicFrameLocks noChangeAspect="1"/>
            </wp:cNvGraphicFramePr>
            <a:graphic>
              <a:graphicData uri="http://schemas.openxmlformats.org/drawingml/2006/picture">
                <pic:pic>
                  <pic:nvPicPr>
                    <pic:cNvPr id="0" name="arrhythmia_kcnh2_non_overlap_diagnostics.png"/>
                    <pic:cNvPicPr/>
                  </pic:nvPicPr>
                  <pic:blipFill>
                    <a:blip r:embed="rId23"/>
                    <a:stretch>
                      <a:fillRect/>
                    </a:stretch>
                  </pic:blipFill>
                  <pic:spPr>
                    <a:xfrm>
                      <a:off x="0" y="0"/>
                      <a:ext cx="6217920" cy="4304714"/>
                    </a:xfrm>
                    <a:prstGeom prst="rect"/>
                  </pic:spPr>
                </pic:pic>
              </a:graphicData>
            </a:graphic>
          </wp:inline>
        </w:drawing>
      </w:r>
    </w:p>
    <w:p>
      <w:pPr>
        <w:jc w:val="center"/>
      </w:pPr>
      <w:r>
        <w:rPr>
          <w:i/>
          <w:sz w:val="18"/>
        </w:rPr>
        <w:t>Figure 15. KCNH2 non-overlap diagnostic analysis.</w:t>
      </w:r>
    </w:p>
    <w:p/>
    <w:p>
      <w:pPr>
        <w:jc w:val="center"/>
      </w:pPr>
      <w:r>
        <w:drawing>
          <wp:inline xmlns:a="http://schemas.openxmlformats.org/drawingml/2006/main" xmlns:pic="http://schemas.openxmlformats.org/drawingml/2006/picture">
            <wp:extent cx="6217920" cy="3497580"/>
            <wp:docPr id="16" name="Picture 16"/>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24"/>
                    <a:stretch>
                      <a:fillRect/>
                    </a:stretch>
                  </pic:blipFill>
                  <pic:spPr>
                    <a:xfrm>
                      <a:off x="0" y="0"/>
                      <a:ext cx="6217920" cy="3497580"/>
                    </a:xfrm>
                    <a:prstGeom prst="rect"/>
                  </pic:spPr>
                </pic:pic>
              </a:graphicData>
            </a:graphic>
          </wp:inline>
        </w:drawing>
      </w:r>
    </w:p>
    <w:p>
      <w:pPr>
        <w:jc w:val="center"/>
      </w:pPr>
      <w:r>
        <w:rPr>
          <w:i/>
          <w:sz w:val="18"/>
        </w:rPr>
        <w:t>Figure 16.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Because the mechanism is unresolved, KCNH2 duplication non-overlap is excluded from clinical action recommendations in this manuscript. It is used only as a methodological warning: absence of a KCNH2 duplication from short-read population data should not be overinterpreted as strong rarity evidence without representation checks and orthogonal validation.</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biological claim is that clinical genomics cannot treat severe annotation as a shield against population evidence. Frequency discordance was not a missense-only phenomenon: it appeared systematically among frameshift, stop-gained, and splice-labeled P/LP assertions across multiple genes, persisted after excluding canonical recessive arrhythmia genes, and remained visible in externally constrained genes. The 35.1% severe-discordance figure is not an error-rate estimate; mechanism triage shows that many cases are compatible with recessive carrier architecture or lack AC support for immediate action. The risk is subtler: a severe-looking ClinVar P/LP assertion can be both mechanistically plausible and too frequent for the high-penetrance label attached to it. LOF annotations are therefore not sufficient to override population-frequency contradictions; they identify a mechanism hypothesis that still has to be reconciled with ancestry, AC, penetrance, inheritance mode, transcript context, and review strength.</w:t>
      </w:r>
    </w:p>
    <w:p>
      <w:r>
        <w:t>This is the problem VITAL operationalizes. Global AF detected only 13 arrhythmia variants above 1e-5, whereas popmax/global screening detected 115, meaning global-AF-only review missed 102/115 ancestry-aware frequency alerts. At the same time, more than 80% of variants lacked usable exact AF evidence, and indels/duplications were disproportionately affected. Frequency workflows therefore fail in two directions: they miss ancestry-specific frequency contradictions and they can overinterpret absence for poorly represented variant classes. This is a guideline implementation gap, not a critique of frequency criteria themselves: BS1/BA1-style reasoning cannot work as intended if the workflow hides popmax tension or treats non-observation as rarity.</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red-priority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 The expert-panel comparator provides an important guardrail for this interpretation: curated P/LP assertions can have frequency tension and should remain visible, but VITAL did not convert any expert-panel record into a red-priority downgrade queue.</w:t>
      </w:r>
    </w:p>
    <w:p>
      <w:r>
        <w:t>Historical and external audits support the same operating profile. Red-priority is intentionally sparse, high-specificity, and low-recall. That is a feature of a review-prioritization framework for frequency-assertion tension, not a flaw of a prediction model, because the goal is to reduce false-positive review burden rather than identify every future ClinVar label change. Post-hoc calibration sharpened this distinction: a score near 70 maps to approximately 50% expanded-instability probability but only about 3% strict-downgrade probability in the historical 3,000-variant set. Weight and AC sensitivity further show that the red-priority queue is small and largely stable, while KCNH2 remains threshold-adjacent and should be communicated as a review signal rather than a stable automated call.</w:t>
      </w:r>
    </w:p>
    <w:p>
      <w:r>
        <w:t>The time-series audit is consistent with the intended scope of the framework. VITAL is not designed as a general instability detector for ClinVar assertions, but as a targeted prioritization tool for variants under population-frequency, review, and context discordance. The absence of VITAL-red signals among transient P/LP assertions therefore reflects specificity rather than failure, indicating that many transient classifications arise from mechanisms outside the frequency-function tension space. From a clinical workflow perspective, this selectivity is desirable: a prioritization system that flags all transient assertions would recreate the same review burden that it is intended to reduce.</w:t>
      </w:r>
    </w:p>
    <w:p>
      <w:r>
        <w:t>The next validation layer should use orthogonal sources of truth rather than waiting for rare strict downgrades to accumulate. The highest-yield design is to assemble curated sets from ClinGen/expert-panel downgrade rationales, LOVD or ClinGen Variant Curation Interface records with documented evidence changes, and functional assays or MAVE datasets for cardiac genes where available. These sources would test whether high VITAL scores coincide with the mechanism of reclassification or with frequency-function discordance, rather than merely with aggregate ClinVar label drift. Multi-year ClinVar time series from 2019-2026 could also be analyzed as survival data, asking whether high-tension variants lose stable P/LP status earlier than low-tension variants. These analyses are future work; they are not required for the current burden-reduction claim.</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primary score is expert-specified by design rather than learned. Weight-profile, one-weight-at-a-time, and restricted weight-consistency audits showed that the queue is not driven by arbitrary single-weight choices, but they do not make VITAL a trained classifier or prove optimal weights. KCNH2 remained unstable in 3/5 alternative profiles, which is expected for threshold-adjacent cases and should be communicated as a review signal rather than a stable automated call. We did not fit component weights to outcome data because available endpoints are proxy-based, event counts are limited, and optimization would increase overfitting risk while reducing interpretability. Future disease-specific deployments should therefore recalibrate weights, AC gates, and thresholds against local disease architecture before prospective use. The workflow-concordance benchmark is also proxy-labeled and partly circular because weak review support and AC-supported frequency evidence help define both the benchmark positives and the red-priority gate; conventional diagnostic-performance summaries should therefore be read only as workflow-burden diagnostics, not clinical accuracy.</w:t>
      </w:r>
    </w:p>
    <w:p>
      <w:r>
        <w:t>Historical audits are underpowered by design. With n=3 red-priority calls, even a true 20% strict-event rate would yield only 48.8% probability of observing at least one event; against a broader 6.8% background rate, detecting enrichment at alpha=0.05 would require at least 2/3 events and has only 10.4% power if the true red-event rate is 20%. Even in the 3,000-variant cross-disease sample, red-priority calls remained sparse and strict downgrade recall was low. The expanded instability endpoint includes soft database changes, including review-status or aggregate-text changes, and should be interpreted as curation activity rather than clinical downgrade.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The expert-panel comparator is a curated stability layer, not an external gold standard for benignity. LOF subtype annotation was derived from ClinVar/HGVS strings and does not replace transcript-aware consequence annotation, NMD prediction, exon/domain context, or curated functional assays. Mechanism triage is likewise a gene-level routing heuristic, not proof that a variant is explained by founder effect, low penetrance, recessive architecture, or error. Therefore, the severe-annotation claim should be read narrowly: severe annotation is not sufficient to override population-frequency contradictions, not that LOF variants are commonly benign. The KCNH2 duplication result is statistical rather than mechanistic and is not used as a clinical recommendation;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Stop relying on global AF alone for database auditing. In this arrhythmia audit, global-AF-only screening missed 102/115 ancestry-aware frequency alerts, creating an avoidable misinterpretation hazard for P/LP assertions.</w:t>
      </w:r>
    </w:p>
    <w:p>
      <w:pPr>
        <w:pStyle w:val="ListNumber"/>
      </w:pPr>
      <w:r>
        <w:t>Use ancestry-aware frequency thresholds. Popmax identifies frequency tension that global AF misses and should be part of any ACMG-style BS1/BA1 review workflow.</w:t>
      </w:r>
    </w:p>
    <w:p>
      <w:pPr>
        <w:pStyle w:val="ListNumber"/>
      </w:pPr>
      <w:r>
        <w:t>Require AC support before acting on frequency contradictions. AC &gt;=20 is not the only possible threshold, but it prevents overreaction to one- or two-allele observations.</w:t>
      </w:r>
    </w:p>
    <w:p>
      <w:pPr>
        <w:pStyle w:val="ListNumber"/>
      </w:pPr>
      <w:r>
        <w:t>Do not treat severe annotation as self-validating. Frameshift, stop-gained, and splice labels should trigger mechanism review, but they do not cancel population-frequency contradictions.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Red-priority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The current implementation is intended for clinical laboratories or expert groups with at least part-time bioinformatics support, not for ad hoc single-variant use by an individual clinician.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Implementation requirement</w:t>
            </w:r>
          </w:p>
        </w:tc>
        <w:tc>
          <w:tcPr>
            <w:tcW w:type="dxa" w:w="5184"/>
            <w:vAlign w:val="top"/>
            <w:shd w:fill="D9EAF7"/>
          </w:tcPr>
          <w:p>
            <w:pPr>
              <w:jc w:val="left"/>
            </w:pPr>
            <w:r/>
            <w:r>
              <w:rPr>
                <w:b/>
                <w:sz w:val="16"/>
              </w:rPr>
              <w:t>Current status</w:t>
            </w:r>
          </w:p>
        </w:tc>
      </w:tr>
      <w:tr>
        <w:tc>
          <w:tcPr>
            <w:tcW w:type="dxa" w:w="5184"/>
            <w:vAlign w:val="top"/>
          </w:tcPr>
          <w:p>
            <w:pPr>
              <w:jc w:val="left"/>
            </w:pPr>
            <w:r/>
            <w:r>
              <w:rPr>
                <w:b w:val="0"/>
                <w:sz w:val="16"/>
              </w:rPr>
              <w:t>User profile</w:t>
            </w:r>
          </w:p>
        </w:tc>
        <w:tc>
          <w:tcPr>
            <w:tcW w:type="dxa" w:w="5184"/>
            <w:vAlign w:val="top"/>
          </w:tcPr>
          <w:p>
            <w:pPr>
              <w:jc w:val="left"/>
            </w:pPr>
            <w:r/>
            <w:r>
              <w:rPr>
                <w:b w:val="0"/>
                <w:sz w:val="16"/>
              </w:rPr>
              <w:t>Clinical laboratory, variant curation team, or expert panel with bioinformatics support</w:t>
            </w:r>
          </w:p>
        </w:tc>
      </w:tr>
      <w:tr>
        <w:tc>
          <w:tcPr>
            <w:tcW w:type="dxa" w:w="5184"/>
            <w:vAlign w:val="top"/>
          </w:tcPr>
          <w:p>
            <w:pPr>
              <w:jc w:val="left"/>
            </w:pPr>
            <w:r/>
            <w:r>
              <w:rPr>
                <w:b w:val="0"/>
                <w:sz w:val="16"/>
              </w:rPr>
              <w:t>Runtime</w:t>
            </w:r>
          </w:p>
        </w:tc>
        <w:tc>
          <w:tcPr>
            <w:tcW w:type="dxa" w:w="5184"/>
            <w:vAlign w:val="top"/>
          </w:tcPr>
          <w:p>
            <w:pPr>
              <w:jc w:val="left"/>
            </w:pPr>
            <w:r/>
            <w:r>
              <w:rPr>
                <w:b w:val="0"/>
                <w:sz w:val="16"/>
              </w:rPr>
              <w:t>Python command-line workflow using cached CSV/TSV intermediates</w:t>
            </w:r>
          </w:p>
        </w:tc>
      </w:tr>
      <w:tr>
        <w:tc>
          <w:tcPr>
            <w:tcW w:type="dxa" w:w="5184"/>
            <w:vAlign w:val="top"/>
          </w:tcPr>
          <w:p>
            <w:pPr>
              <w:jc w:val="left"/>
            </w:pPr>
            <w:r/>
            <w:r>
              <w:rPr>
                <w:b w:val="0"/>
                <w:sz w:val="16"/>
              </w:rPr>
              <w:t>First run</w:t>
            </w:r>
          </w:p>
        </w:tc>
        <w:tc>
          <w:tcPr>
            <w:tcW w:type="dxa" w:w="5184"/>
            <w:vAlign w:val="top"/>
          </w:tcPr>
          <w:p>
            <w:pPr>
              <w:jc w:val="left"/>
            </w:pPr>
            <w:r/>
            <w:r>
              <w:rPr>
                <w:b w:val="0"/>
                <w:sz w:val="16"/>
              </w:rPr>
              <w:t>Hours when ClinVar/gnomAD/API acquisition is required; minutes for cached reruns and demo scoring</w:t>
            </w:r>
          </w:p>
        </w:tc>
      </w:tr>
      <w:tr>
        <w:tc>
          <w:tcPr>
            <w:tcW w:type="dxa" w:w="5184"/>
            <w:vAlign w:val="top"/>
          </w:tcPr>
          <w:p>
            <w:pPr>
              <w:jc w:val="left"/>
            </w:pPr>
            <w:r/>
            <w:r>
              <w:rPr>
                <w:b w:val="0"/>
                <w:sz w:val="16"/>
              </w:rPr>
              <w:t>Offline reproducibility</w:t>
            </w:r>
          </w:p>
        </w:tc>
        <w:tc>
          <w:tcPr>
            <w:tcW w:type="dxa" w:w="5184"/>
            <w:vAlign w:val="top"/>
          </w:tcPr>
          <w:p>
            <w:pPr>
              <w:jc w:val="left"/>
            </w:pPr>
            <w:r/>
            <w:r>
              <w:rPr>
                <w:b w:val="0"/>
                <w:sz w:val="16"/>
              </w:rPr>
              <w:t>Supported for downstream scoring, figures, supplementary tables, and manuscript generation from committed caches</w:t>
            </w:r>
          </w:p>
        </w:tc>
      </w:tr>
      <w:tr>
        <w:tc>
          <w:tcPr>
            <w:tcW w:type="dxa" w:w="5184"/>
            <w:vAlign w:val="top"/>
          </w:tcPr>
          <w:p>
            <w:pPr>
              <w:jc w:val="left"/>
            </w:pPr>
            <w:r/>
            <w:r>
              <w:rPr>
                <w:b w:val="0"/>
                <w:sz w:val="16"/>
              </w:rPr>
              <w:t>Docker/container</w:t>
            </w:r>
          </w:p>
        </w:tc>
        <w:tc>
          <w:tcPr>
            <w:tcW w:type="dxa" w:w="5184"/>
            <w:vAlign w:val="top"/>
          </w:tcPr>
          <w:p>
            <w:pPr>
              <w:jc w:val="left"/>
            </w:pPr>
            <w:r/>
            <w:r>
              <w:rPr>
                <w:b w:val="0"/>
                <w:sz w:val="16"/>
              </w:rPr>
              <w:t>Minimal Dockerfile provided for cached/demo analyses; full raw-data acquisition still depends on external services and bulky inputs</w:t>
            </w:r>
          </w:p>
        </w:tc>
      </w:tr>
      <w:tr>
        <w:tc>
          <w:tcPr>
            <w:tcW w:type="dxa" w:w="5184"/>
            <w:vAlign w:val="top"/>
          </w:tcPr>
          <w:p>
            <w:pPr>
              <w:jc w:val="left"/>
            </w:pPr>
            <w:r/>
            <w:r>
              <w:rPr>
                <w:b w:val="0"/>
                <w:sz w:val="16"/>
              </w:rPr>
              <w:t>Single-variant usability</w:t>
            </w:r>
          </w:p>
        </w:tc>
        <w:tc>
          <w:tcPr>
            <w:tcW w:type="dxa" w:w="5184"/>
            <w:vAlign w:val="top"/>
          </w:tcPr>
          <w:p>
            <w:pPr>
              <w:jc w:val="left"/>
            </w:pPr>
            <w:r/>
            <w:r>
              <w:rPr>
                <w:b w:val="0"/>
                <w:sz w:val="16"/>
              </w:rPr>
              <w:t>Colab demo supports cached VCV examples in approximately two minutes; production use would need a web interface or plugin</w:t>
            </w:r>
          </w:p>
        </w:tc>
      </w:tr>
    </w:tbl>
    <w:p/>
    <w:p>
      <w:r>
        <w:t>The laboratory action table is intentionally operational:</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VITAL band</w:t>
            </w:r>
          </w:p>
        </w:tc>
        <w:tc>
          <w:tcPr>
            <w:tcW w:type="dxa" w:w="2074"/>
            <w:vAlign w:val="top"/>
            <w:shd w:fill="D9EAF7"/>
          </w:tcPr>
          <w:p>
            <w:pPr>
              <w:jc w:val="left"/>
            </w:pPr>
            <w:r/>
            <w:r>
              <w:rPr>
                <w:b/>
                <w:sz w:val="16"/>
              </w:rPr>
              <w:t>Recommended action</w:t>
            </w:r>
          </w:p>
        </w:tc>
        <w:tc>
          <w:tcPr>
            <w:tcW w:type="dxa" w:w="2074"/>
            <w:vAlign w:val="top"/>
            <w:shd w:fill="D9EAF7"/>
          </w:tcPr>
          <w:p>
            <w:pPr>
              <w:jc w:val="left"/>
            </w:pPr>
            <w:r/>
            <w:r>
              <w:rPr>
                <w:b/>
                <w:sz w:val="16"/>
              </w:rPr>
              <w:t>Reviewer</w:t>
            </w:r>
          </w:p>
        </w:tc>
        <w:tc>
          <w:tcPr>
            <w:tcW w:type="dxa" w:w="2074"/>
            <w:vAlign w:val="top"/>
            <w:shd w:fill="D9EAF7"/>
          </w:tcPr>
          <w:p>
            <w:pPr>
              <w:jc w:val="left"/>
            </w:pPr>
            <w:r/>
            <w:r>
              <w:rPr>
                <w:b/>
                <w:sz w:val="16"/>
              </w:rPr>
              <w:t>Timing</w:t>
            </w:r>
          </w:p>
        </w:tc>
        <w:tc>
          <w:tcPr>
            <w:tcW w:type="dxa" w:w="2074"/>
            <w:vAlign w:val="top"/>
            <w:shd w:fill="D9EAF7"/>
          </w:tcPr>
          <w:p>
            <w:pPr>
              <w:jc w:val="left"/>
            </w:pPr>
            <w:r/>
            <w:r>
              <w:rPr>
                <w:b/>
                <w:sz w:val="16"/>
              </w:rPr>
              <w:t>Required documentation</w:t>
            </w:r>
          </w:p>
        </w:tc>
      </w:tr>
      <w:tr>
        <w:tc>
          <w:tcPr>
            <w:tcW w:type="dxa" w:w="2074"/>
            <w:vAlign w:val="top"/>
          </w:tcPr>
          <w:p>
            <w:pPr>
              <w:jc w:val="left"/>
            </w:pPr>
            <w:r/>
            <w:r>
              <w:rPr>
                <w:b w:val="0"/>
                <w:sz w:val="16"/>
              </w:rPr>
              <w:t>Red-priority</w:t>
            </w:r>
          </w:p>
        </w:tc>
        <w:tc>
          <w:tcPr>
            <w:tcW w:type="dxa" w:w="2074"/>
            <w:vAlign w:val="top"/>
          </w:tcPr>
          <w:p>
            <w:pPr>
              <w:jc w:val="left"/>
            </w:pPr>
            <w:r/>
            <w:r>
              <w:rPr>
                <w:b w:val="0"/>
                <w:sz w:val="16"/>
              </w:rPr>
              <w:t>Immediate expert re-review; verify live ClinVar/gnomAD, phenotype, inheritance, literature, and local evidence</w:t>
            </w:r>
          </w:p>
        </w:tc>
        <w:tc>
          <w:tcPr>
            <w:tcW w:type="dxa" w:w="2074"/>
            <w:vAlign w:val="top"/>
          </w:tcPr>
          <w:p>
            <w:pPr>
              <w:jc w:val="left"/>
            </w:pPr>
            <w:r/>
            <w:r>
              <w:rPr>
                <w:b w:val="0"/>
                <w:sz w:val="16"/>
              </w:rPr>
              <w:t>Variant scientist prepares; laboratory director signs; disease expert/panel as needed</w:t>
            </w:r>
          </w:p>
        </w:tc>
        <w:tc>
          <w:tcPr>
            <w:tcW w:type="dxa" w:w="2074"/>
            <w:vAlign w:val="top"/>
          </w:tcPr>
          <w:p>
            <w:pPr>
              <w:jc w:val="left"/>
            </w:pPr>
            <w:r/>
            <w:r>
              <w:rPr>
                <w:b w:val="0"/>
                <w:sz w:val="16"/>
              </w:rPr>
              <w:t>Next review cycle or about 30 days for patient-facing assertions</w:t>
            </w:r>
          </w:p>
        </w:tc>
        <w:tc>
          <w:tcPr>
            <w:tcW w:type="dxa" w:w="2074"/>
            <w:vAlign w:val="top"/>
          </w:tcPr>
          <w:p>
            <w:pPr>
              <w:jc w:val="left"/>
            </w:pPr>
            <w:r/>
            <w:r>
              <w:rPr>
                <w:b w:val="0"/>
                <w:sz w:val="16"/>
              </w:rPr>
              <w:t>Component breakdown, live database check date, evidence reviewed, ACMG/ClinGen criteria affected, final disposition</w:t>
            </w:r>
          </w:p>
        </w:tc>
      </w:tr>
      <w:tr>
        <w:tc>
          <w:tcPr>
            <w:tcW w:type="dxa" w:w="2074"/>
            <w:vAlign w:val="top"/>
          </w:tcPr>
          <w:p>
            <w:pPr>
              <w:jc w:val="left"/>
            </w:pPr>
            <w:r/>
            <w:r>
              <w:rPr>
                <w:b w:val="0"/>
                <w:sz w:val="16"/>
              </w:rPr>
              <w:t>Orange high-tension</w:t>
            </w:r>
          </w:p>
        </w:tc>
        <w:tc>
          <w:tcPr>
            <w:tcW w:type="dxa" w:w="2074"/>
            <w:vAlign w:val="top"/>
          </w:tcPr>
          <w:p>
            <w:pPr>
              <w:jc w:val="left"/>
            </w:pPr>
            <w:r/>
            <w:r>
              <w:rPr>
                <w:b w:val="0"/>
                <w:sz w:val="16"/>
              </w:rPr>
              <w:t>Scheduled batch review; escalate if AC-supported, high-actionability gene, weak review, or phenotype/literature mismatch is present</w:t>
            </w:r>
          </w:p>
        </w:tc>
        <w:tc>
          <w:tcPr>
            <w:tcW w:type="dxa" w:w="2074"/>
            <w:vAlign w:val="top"/>
          </w:tcPr>
          <w:p>
            <w:pPr>
              <w:jc w:val="left"/>
            </w:pPr>
            <w:r/>
            <w:r>
              <w:rPr>
                <w:b w:val="0"/>
                <w:sz w:val="16"/>
              </w:rPr>
              <w:t>Variant scientist or curation team</w:t>
            </w:r>
          </w:p>
        </w:tc>
        <w:tc>
          <w:tcPr>
            <w:tcW w:type="dxa" w:w="2074"/>
            <w:vAlign w:val="top"/>
          </w:tcPr>
          <w:p>
            <w:pPr>
              <w:jc w:val="left"/>
            </w:pPr>
            <w:r/>
            <w:r>
              <w:rPr>
                <w:b w:val="0"/>
                <w:sz w:val="16"/>
              </w:rPr>
              <w:t>Monthly or quarterly batch review</w:t>
            </w:r>
          </w:p>
        </w:tc>
        <w:tc>
          <w:tcPr>
            <w:tcW w:type="dxa" w:w="2074"/>
            <w:vAlign w:val="top"/>
          </w:tcPr>
          <w:p>
            <w:pPr>
              <w:jc w:val="left"/>
            </w:pPr>
            <w:r/>
            <w:r>
              <w:rPr>
                <w:b w:val="0"/>
                <w:sz w:val="16"/>
              </w:rPr>
              <w:t>Reason for escalation or monitoring, changed AF/AC/review status, next review date</w:t>
            </w:r>
          </w:p>
        </w:tc>
      </w:tr>
      <w:tr>
        <w:tc>
          <w:tcPr>
            <w:tcW w:type="dxa" w:w="2074"/>
            <w:vAlign w:val="top"/>
          </w:tcPr>
          <w:p>
            <w:pPr>
              <w:jc w:val="left"/>
            </w:pPr>
            <w:r/>
            <w:r>
              <w:rPr>
                <w:b w:val="0"/>
                <w:sz w:val="16"/>
              </w:rPr>
              <w:t>Yellow watchlist</w:t>
            </w:r>
          </w:p>
        </w:tc>
        <w:tc>
          <w:tcPr>
            <w:tcW w:type="dxa" w:w="2074"/>
            <w:vAlign w:val="top"/>
          </w:tcPr>
          <w:p>
            <w:pPr>
              <w:jc w:val="left"/>
            </w:pPr>
            <w:r/>
            <w:r>
              <w:rPr>
                <w:b w:val="0"/>
                <w:sz w:val="16"/>
              </w:rPr>
              <w:t>Monitor at database refresh; no immediate classification action</w:t>
            </w:r>
          </w:p>
        </w:tc>
        <w:tc>
          <w:tcPr>
            <w:tcW w:type="dxa" w:w="2074"/>
            <w:vAlign w:val="top"/>
          </w:tcPr>
          <w:p>
            <w:pPr>
              <w:jc w:val="left"/>
            </w:pPr>
            <w:r/>
            <w:r>
              <w:rPr>
                <w:b w:val="0"/>
                <w:sz w:val="16"/>
              </w:rPr>
              <w:t>Bioinformatics/curation queue</w:t>
            </w:r>
          </w:p>
        </w:tc>
        <w:tc>
          <w:tcPr>
            <w:tcW w:type="dxa" w:w="2074"/>
            <w:vAlign w:val="top"/>
          </w:tcPr>
          <w:p>
            <w:pPr>
              <w:jc w:val="left"/>
            </w:pPr>
            <w:r/>
            <w:r>
              <w:rPr>
                <w:b w:val="0"/>
                <w:sz w:val="16"/>
              </w:rPr>
              <w:t>Routine ClinVar/gnomAD release cycle</w:t>
            </w:r>
          </w:p>
        </w:tc>
        <w:tc>
          <w:tcPr>
            <w:tcW w:type="dxa" w:w="2074"/>
            <w:vAlign w:val="top"/>
          </w:tcPr>
          <w:p>
            <w:pPr>
              <w:jc w:val="left"/>
            </w:pPr>
            <w:r/>
            <w:r>
              <w:rPr>
                <w:b w:val="0"/>
                <w:sz w:val="16"/>
              </w:rPr>
              <w:t>Band and score trend, reason not escalated</w:t>
            </w:r>
          </w:p>
        </w:tc>
      </w:tr>
      <w:tr>
        <w:tc>
          <w:tcPr>
            <w:tcW w:type="dxa" w:w="2074"/>
            <w:vAlign w:val="top"/>
          </w:tcPr>
          <w:p>
            <w:pPr>
              <w:jc w:val="left"/>
            </w:pPr>
            <w:r/>
            <w:r>
              <w:rPr>
                <w:b w:val="0"/>
                <w:sz w:val="16"/>
              </w:rPr>
              <w:t>Gray no-frequency evidence</w:t>
            </w:r>
          </w:p>
        </w:tc>
        <w:tc>
          <w:tcPr>
            <w:tcW w:type="dxa" w:w="2074"/>
            <w:vAlign w:val="top"/>
          </w:tcPr>
          <w:p>
            <w:pPr>
              <w:jc w:val="left"/>
            </w:pPr>
            <w:r/>
            <w:r>
              <w:rPr>
                <w:b w:val="0"/>
                <w:sz w:val="16"/>
              </w:rPr>
              <w:t>Representation-aware checks; orthogonal validation if complex allele could affect patient-facing decision</w:t>
            </w:r>
          </w:p>
        </w:tc>
        <w:tc>
          <w:tcPr>
            <w:tcW w:type="dxa" w:w="2074"/>
            <w:vAlign w:val="top"/>
          </w:tcPr>
          <w:p>
            <w:pPr>
              <w:jc w:val="left"/>
            </w:pPr>
            <w:r/>
            <w:r>
              <w:rPr>
                <w:b w:val="0"/>
                <w:sz w:val="16"/>
              </w:rPr>
              <w:t>Bioinformatician plus variant scientist</w:t>
            </w:r>
          </w:p>
        </w:tc>
        <w:tc>
          <w:tcPr>
            <w:tcW w:type="dxa" w:w="2074"/>
            <w:vAlign w:val="top"/>
          </w:tcPr>
          <w:p>
            <w:pPr>
              <w:jc w:val="left"/>
            </w:pPr>
            <w:r/>
            <w:r>
              <w:rPr>
                <w:b w:val="0"/>
                <w:sz w:val="16"/>
              </w:rPr>
              <w:t>Case-dependent; expedited for high-actionability genes</w:t>
            </w:r>
          </w:p>
        </w:tc>
        <w:tc>
          <w:tcPr>
            <w:tcW w:type="dxa" w:w="2074"/>
            <w:vAlign w:val="top"/>
          </w:tcPr>
          <w:p>
            <w:pPr>
              <w:jc w:val="left"/>
            </w:pPr>
            <w:r/>
            <w:r>
              <w:rPr>
                <w:b w:val="0"/>
                <w:sz w:val="16"/>
              </w:rPr>
              <w:t>Normalization/representation check, validation need, deferred queue status</w:t>
            </w:r>
          </w:p>
        </w:tc>
      </w:tr>
      <w:tr>
        <w:tc>
          <w:tcPr>
            <w:tcW w:type="dxa" w:w="2074"/>
            <w:vAlign w:val="top"/>
          </w:tcPr>
          <w:p>
            <w:pPr>
              <w:jc w:val="left"/>
            </w:pPr>
            <w:r/>
            <w:r>
              <w:rPr>
                <w:b w:val="0"/>
                <w:sz w:val="16"/>
              </w:rPr>
              <w:t>Green/blue</w:t>
            </w:r>
          </w:p>
        </w:tc>
        <w:tc>
          <w:tcPr>
            <w:tcW w:type="dxa" w:w="2074"/>
            <w:vAlign w:val="top"/>
          </w:tcPr>
          <w:p>
            <w:pPr>
              <w:jc w:val="left"/>
            </w:pPr>
            <w:r/>
            <w:r>
              <w:rPr>
                <w:b w:val="0"/>
                <w:sz w:val="16"/>
              </w:rPr>
              <w:t>Routine monitoring only</w:t>
            </w:r>
          </w:p>
        </w:tc>
        <w:tc>
          <w:tcPr>
            <w:tcW w:type="dxa" w:w="2074"/>
            <w:vAlign w:val="top"/>
          </w:tcPr>
          <w:p>
            <w:pPr>
              <w:jc w:val="left"/>
            </w:pPr>
            <w:r/>
            <w:r>
              <w:rPr>
                <w:b w:val="0"/>
                <w:sz w:val="16"/>
              </w:rPr>
              <w:t>Automated batch audit</w:t>
            </w:r>
          </w:p>
        </w:tc>
        <w:tc>
          <w:tcPr>
            <w:tcW w:type="dxa" w:w="2074"/>
            <w:vAlign w:val="top"/>
          </w:tcPr>
          <w:p>
            <w:pPr>
              <w:jc w:val="left"/>
            </w:pPr>
            <w:r/>
            <w:r>
              <w:rPr>
                <w:b w:val="0"/>
                <w:sz w:val="16"/>
              </w:rPr>
              <w:t>Routine release cycle</w:t>
            </w:r>
          </w:p>
        </w:tc>
        <w:tc>
          <w:tcPr>
            <w:tcW w:type="dxa" w:w="2074"/>
            <w:vAlign w:val="top"/>
          </w:tcPr>
          <w:p>
            <w:pPr>
              <w:jc w:val="left"/>
            </w:pPr>
            <w:r/>
            <w:r>
              <w:rPr>
                <w:b w:val="0"/>
                <w:sz w:val="16"/>
              </w:rPr>
              <w:t>No urgent action; retain audit trace</w:t>
            </w:r>
          </w:p>
        </w:tc>
      </w:tr>
    </w:tbl>
    <w:p/>
    <w:p>
      <w:r>
        <w:t>To make the framework immediately inspectable, we also provide a lightweight Google Colab demonstration that scores a single cached VCV record, a small CSV batch, or a demo top-suspicious table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severe annotation does not make an assertion immune to population-frequency contradiction. Frequency discordance appears across frameshift, stop-gained, and splice-labeled records, including outside canonical recessive arrhythmia genes. Popmax, AC, variant type, technical detectability, gene context, and ClinVar review strength all materially change which variants should be prioritized for re-review. VITAL formalizes these signals into an explainable 0-100 frequency-assertion tension score, identifies 3 red-priority arrhythmia assertions as of the April 21, 2026 data freeze, suppresses more than 100 naive AF alerts, and preserves explicit no-frequency-evidence states for variants that should not be treated as AF=0. Independent current cross-disease burden audit across 3,000 non-arrhythmia ClinVar P/LP variants shows the same workflow profile: 332 naive AF alerts compress to 3 red-priority calls, while 204 expert-panel P/LP assertions produce no red-priority calls despite visible frequency tension in some records. Historical cross-disease audits remain high-specificity and low-recall, with 13 red-priority calls among 3,000 baseline 2023 variants and only 1/23 strict future downgrade events captured; VITAL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ClinVar bulk variant_summary snapshots, including archived January 2023, January 2024, January 2025, and April 2026 files for the time-series audit.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minimal Docker/containerized environment is provided for cached/demo analyses so that package installation and the Python runtime can be reproduced in addition to the data freeze.</w:t>
      </w:r>
    </w:p>
    <w:p>
      <w:r>
        <w:t>Key output groups include per-variant VITAL scores and component explanations, method-comparison tables, threshold and AC sensitivity sweeps, weight-sensitivity tables, semi-empirical calibration outputs, historical validation outputs, external-panel stress tests, 3,000-variant cross-disease validation outputs, ClinVar time-series trajectory outputs, severe-annotation discordance audits, expert-panel comparator outputs, and generated figures. The most central files are arrhythmia_vital_scores.csv, arrhythmia_vital_component_breakdown.csv, arrhythmia_vital_method_comparison.csv, arrhythmia_vital_pathogenicity_tension_continuum.csv, arrhythmia_vital_one_weight_sensitivity.csv, vital_severe_annotation_frequency_discordance_summary.csv, vital_severe_annotation_gene_spread.csv, vital_severe_annotation_mechanism_triage.csv, vital_expert_panel_truth_validation.csv, vital_external_truth_claim_tests.csv, vital_cross_disease_3000_restricted_calibration_model_metrics.csv, vital_cross_disease_3000_restricted_calibration_feature_dominance.csv, vital_red_manual_review_live_check.csv, vital_cross_disease_3000_cross_disease_validation_summary.csv, vital_cross_disease_3000_2023_01_to_current_vital_historical_enrichment.csv, vital_cross_disease_3000_clinvar_time_series_wide.csv, arrhythmia_current_red_clinvar_time_series_red_queue.csv, and arrhythmia_intermediate_only_2024_2025_vital_scores.csv.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The severe-annotation and curated-comparator extension is provided as data/processed/vital_severe_annotation_frequency_discordance_summary.csv, data/processed/vital_severe_annotation_gene_spread.csv, data/processed/vital_severe_annotation_mechanism_triage.csv, data/processed/vital_expert_panel_truth_validation.csv, data/processed/vital_expert_panel_high_tension_examples.csv, data/processed/vital_external_truth_claim_tests.csv, figures/vital_external_truth_biological_claim.png, and supplementary_tables/Supplementary_Table_S22_external_truth_biological_claim.tsv. These files are generated by src/run_vital_biological_contrast.py and src/run_vital_external_truth_claim.py from gnomAD v4.1 constraint metrics, Human Protein Atlas v23 tissue-consensus expression downloads, VITAL score tables, and the 3,000-variant cross-disease comparator;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red-priority variants; one-weight-at-a-time sensitivity is provided in arrhythmia_vital_one_weight_sensitivity.csv.</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red-priority variants to LOEUF, heart expression, expected mechanism, and case-level interpretation.</w:t>
      </w:r>
    </w:p>
    <w:p>
      <w:pPr>
        <w:pStyle w:val="ListBullet"/>
      </w:pPr>
      <w:r>
        <w:t>Supplementary Table S17: post-hoc VITAL score calibration mapping for strict, broad, and expanded historical endpoints.</w:t>
      </w:r>
    </w:p>
    <w:p>
      <w:pPr>
        <w:pStyle w:val="ListBullet"/>
      </w:pPr>
      <w:r>
        <w:t>Supplementary Table S18: ClinVar four-snapshot time-series trajectories.</w:t>
      </w:r>
    </w:p>
    <w:p>
      <w:pPr>
        <w:pStyle w:val="ListBullet"/>
      </w:pPr>
      <w:r>
        <w:t>Supplementary Table S19: ClinVar four-snapshot red-priority trajectories.</w:t>
      </w:r>
    </w:p>
    <w:p>
      <w:pPr>
        <w:pStyle w:val="ListBullet"/>
      </w:pPr>
      <w:r>
        <w:t>Supplementary Table S20: ClinVar four-snapshot flipper and transient-instability trajectories.</w:t>
      </w:r>
    </w:p>
    <w:p>
      <w:pPr>
        <w:pStyle w:val="ListBullet"/>
      </w:pPr>
      <w:r>
        <w:t>Supplementary Table S21: restricted VITAL weight-consistency audit, including review-only, tension-only, and combined diagnostic probes.</w:t>
      </w:r>
    </w:p>
    <w:p>
      <w:pPr>
        <w:pStyle w:val="ListBullet"/>
      </w:pPr>
      <w:r>
        <w:t>Supplementary Table S22: severe-annotation frequency discordance and expert-panel comparator, including LOF subtype summaries, recessive-gene exclusion, constrained-gene checks, mechanism triage, and curated high-tension examples.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red-priority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A7b. One-weight-at-a-time VITAL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4"/>
              </w:rPr>
              <w:t>component_varied</w:t>
            </w:r>
          </w:p>
        </w:tc>
        <w:tc>
          <w:tcPr>
            <w:tcW w:type="dxa" w:w="1728"/>
            <w:vAlign w:val="top"/>
            <w:shd w:fill="D9EAF7"/>
          </w:tcPr>
          <w:p>
            <w:pPr>
              <w:jc w:val="left"/>
            </w:pPr>
            <w:r/>
            <w:r>
              <w:rPr>
                <w:b/>
                <w:sz w:val="14"/>
              </w:rPr>
              <w:t>weight_multiplier</w:t>
            </w:r>
          </w:p>
        </w:tc>
        <w:tc>
          <w:tcPr>
            <w:tcW w:type="dxa" w:w="1728"/>
            <w:vAlign w:val="top"/>
            <w:shd w:fill="D9EAF7"/>
          </w:tcPr>
          <w:p>
            <w:pPr>
              <w:jc w:val="left"/>
            </w:pPr>
            <w:r/>
            <w:r>
              <w:rPr>
                <w:b/>
                <w:sz w:val="14"/>
              </w:rPr>
              <w:t>tested_weight</w:t>
            </w:r>
          </w:p>
        </w:tc>
        <w:tc>
          <w:tcPr>
            <w:tcW w:type="dxa" w:w="1728"/>
            <w:vAlign w:val="top"/>
            <w:shd w:fill="D9EAF7"/>
          </w:tcPr>
          <w:p>
            <w:pPr>
              <w:jc w:val="left"/>
            </w:pPr>
            <w:r/>
            <w:r>
              <w:rPr>
                <w:b/>
                <w:sz w:val="14"/>
              </w:rPr>
              <w:t>red_priority_count</w:t>
            </w:r>
          </w:p>
        </w:tc>
        <w:tc>
          <w:tcPr>
            <w:tcW w:type="dxa" w:w="1728"/>
            <w:vAlign w:val="top"/>
            <w:shd w:fill="D9EAF7"/>
          </w:tcPr>
          <w:p>
            <w:pPr>
              <w:jc w:val="left"/>
            </w:pPr>
            <w:r/>
            <w:r>
              <w:rPr>
                <w:b/>
                <w:sz w:val="14"/>
              </w:rPr>
              <w:t>red_priority_variants</w:t>
            </w:r>
          </w:p>
        </w:tc>
        <w:tc>
          <w:tcPr>
            <w:tcW w:type="dxa" w:w="1728"/>
            <w:vAlign w:val="top"/>
            <w:shd w:fill="D9EAF7"/>
          </w:tcPr>
          <w:p>
            <w:pPr>
              <w:jc w:val="left"/>
            </w:pPr>
            <w:r/>
            <w:r>
              <w:rPr>
                <w:b/>
                <w:sz w:val="14"/>
              </w:rPr>
              <w:t>sensitivity_note</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0.5</w:t>
            </w:r>
          </w:p>
        </w:tc>
        <w:tc>
          <w:tcPr>
            <w:tcW w:type="dxa" w:w="1728"/>
            <w:vAlign w:val="top"/>
          </w:tcPr>
          <w:p>
            <w:pPr>
              <w:jc w:val="left"/>
            </w:pPr>
            <w:r/>
            <w:r>
              <w:rPr>
                <w:b w:val="0"/>
                <w:sz w:val="14"/>
              </w:rPr>
              <w:t>22.5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0.75</w:t>
            </w:r>
          </w:p>
        </w:tc>
        <w:tc>
          <w:tcPr>
            <w:tcW w:type="dxa" w:w="1728"/>
            <w:vAlign w:val="top"/>
          </w:tcPr>
          <w:p>
            <w:pPr>
              <w:jc w:val="left"/>
            </w:pPr>
            <w:r/>
            <w:r>
              <w:rPr>
                <w:b w:val="0"/>
                <w:sz w:val="14"/>
              </w:rPr>
              <w:t>33.8</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1.25</w:t>
            </w:r>
          </w:p>
        </w:tc>
        <w:tc>
          <w:tcPr>
            <w:tcW w:type="dxa" w:w="1728"/>
            <w:vAlign w:val="top"/>
          </w:tcPr>
          <w:p>
            <w:pPr>
              <w:jc w:val="left"/>
            </w:pPr>
            <w:r/>
            <w:r>
              <w:rPr>
                <w:b w:val="0"/>
                <w:sz w:val="14"/>
              </w:rPr>
              <w:t>56.2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1.5</w:t>
            </w:r>
          </w:p>
        </w:tc>
        <w:tc>
          <w:tcPr>
            <w:tcW w:type="dxa" w:w="1728"/>
            <w:vAlign w:val="top"/>
          </w:tcPr>
          <w:p>
            <w:pPr>
              <w:jc w:val="left"/>
            </w:pPr>
            <w:r/>
            <w:r>
              <w:rPr>
                <w:b w:val="0"/>
                <w:sz w:val="14"/>
              </w:rPr>
              <w:t>67.5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0.5</w:t>
            </w:r>
          </w:p>
        </w:tc>
        <w:tc>
          <w:tcPr>
            <w:tcW w:type="dxa" w:w="1728"/>
            <w:vAlign w:val="top"/>
          </w:tcPr>
          <w:p>
            <w:pPr>
              <w:jc w:val="left"/>
            </w:pPr>
            <w:r/>
            <w:r>
              <w:rPr>
                <w:b w:val="0"/>
                <w:sz w:val="14"/>
              </w:rPr>
              <w:t>10</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0.75</w:t>
            </w:r>
          </w:p>
        </w:tc>
        <w:tc>
          <w:tcPr>
            <w:tcW w:type="dxa" w:w="1728"/>
            <w:vAlign w:val="top"/>
          </w:tcPr>
          <w:p>
            <w:pPr>
              <w:jc w:val="left"/>
            </w:pPr>
            <w:r/>
            <w:r>
              <w:rPr>
                <w:b w:val="0"/>
                <w:sz w:val="14"/>
              </w:rPr>
              <w:t>15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w:t>
            </w:r>
          </w:p>
        </w:tc>
        <w:tc>
          <w:tcPr>
            <w:tcW w:type="dxa" w:w="1728"/>
            <w:vAlign w:val="top"/>
          </w:tcPr>
          <w:p>
            <w:pPr>
              <w:jc w:val="left"/>
            </w:pPr>
            <w:r/>
            <w:r>
              <w:rPr>
                <w:b w:val="0"/>
                <w:sz w:val="14"/>
              </w:rPr>
              <w:t>20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1.25</w:t>
            </w:r>
          </w:p>
        </w:tc>
        <w:tc>
          <w:tcPr>
            <w:tcW w:type="dxa" w:w="1728"/>
            <w:vAlign w:val="top"/>
          </w:tcPr>
          <w:p>
            <w:pPr>
              <w:jc w:val="left"/>
            </w:pPr>
            <w:r/>
            <w:r>
              <w:rPr>
                <w:b w:val="0"/>
                <w:sz w:val="14"/>
              </w:rPr>
              <w:t>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1.5</w:t>
            </w:r>
          </w:p>
        </w:tc>
        <w:tc>
          <w:tcPr>
            <w:tcW w:type="dxa" w:w="1728"/>
            <w:vAlign w:val="top"/>
          </w:tcPr>
          <w:p>
            <w:pPr>
              <w:jc w:val="left"/>
            </w:pPr>
            <w:r/>
            <w:r>
              <w:rPr>
                <w:b w:val="0"/>
                <w:sz w:val="14"/>
              </w:rPr>
              <w:t>30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0.5</w:t>
            </w:r>
          </w:p>
        </w:tc>
        <w:tc>
          <w:tcPr>
            <w:tcW w:type="dxa" w:w="1728"/>
            <w:vAlign w:val="top"/>
          </w:tcPr>
          <w:p>
            <w:pPr>
              <w:jc w:val="left"/>
            </w:pPr>
            <w:r/>
            <w:r>
              <w:rPr>
                <w:b w:val="0"/>
                <w:sz w:val="14"/>
              </w:rPr>
              <w:t>3</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0.75</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w:t>
            </w:r>
          </w:p>
        </w:tc>
        <w:tc>
          <w:tcPr>
            <w:tcW w:type="dxa" w:w="1728"/>
            <w:vAlign w:val="top"/>
          </w:tcPr>
          <w:p>
            <w:pPr>
              <w:jc w:val="left"/>
            </w:pPr>
            <w:r/>
            <w:r>
              <w:rPr>
                <w:b w:val="0"/>
                <w:sz w:val="14"/>
              </w:rPr>
              <w:t>6</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1.25</w:t>
            </w:r>
          </w:p>
        </w:tc>
        <w:tc>
          <w:tcPr>
            <w:tcW w:type="dxa" w:w="1728"/>
            <w:vAlign w:val="top"/>
          </w:tcPr>
          <w:p>
            <w:pPr>
              <w:jc w:val="left"/>
            </w:pPr>
            <w:r/>
            <w:r>
              <w:rPr>
                <w:b w:val="0"/>
                <w:sz w:val="14"/>
              </w:rPr>
              <w:t>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1.5</w:t>
            </w:r>
          </w:p>
        </w:tc>
        <w:tc>
          <w:tcPr>
            <w:tcW w:type="dxa" w:w="1728"/>
            <w:vAlign w:val="top"/>
          </w:tcPr>
          <w:p>
            <w:pPr>
              <w:jc w:val="left"/>
            </w:pPr>
            <w:r/>
            <w:r>
              <w:rPr>
                <w:b w:val="0"/>
                <w:sz w:val="14"/>
              </w:rPr>
              <w:t>9</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0.5</w:t>
            </w:r>
          </w:p>
        </w:tc>
        <w:tc>
          <w:tcPr>
            <w:tcW w:type="dxa" w:w="1728"/>
            <w:vAlign w:val="top"/>
          </w:tcPr>
          <w:p>
            <w:pPr>
              <w:jc w:val="left"/>
            </w:pPr>
            <w:r/>
            <w:r>
              <w:rPr>
                <w:b w:val="0"/>
                <w:sz w:val="14"/>
              </w:rPr>
              <w:t>4</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0.75</w:t>
            </w:r>
          </w:p>
        </w:tc>
        <w:tc>
          <w:tcPr>
            <w:tcW w:type="dxa" w:w="1728"/>
            <w:vAlign w:val="top"/>
          </w:tcPr>
          <w:p>
            <w:pPr>
              <w:jc w:val="left"/>
            </w:pPr>
            <w:r/>
            <w:r>
              <w:rPr>
                <w:b w:val="0"/>
                <w:sz w:val="14"/>
              </w:rPr>
              <w:t>6</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w:t>
            </w:r>
          </w:p>
        </w:tc>
        <w:tc>
          <w:tcPr>
            <w:tcW w:type="dxa" w:w="1728"/>
            <w:vAlign w:val="top"/>
          </w:tcPr>
          <w:p>
            <w:pPr>
              <w:jc w:val="left"/>
            </w:pPr>
            <w:r/>
            <w:r>
              <w:rPr>
                <w:b w:val="0"/>
                <w:sz w:val="14"/>
              </w:rPr>
              <w:t>8</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1.25</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1.5</w:t>
            </w:r>
          </w:p>
        </w:tc>
        <w:tc>
          <w:tcPr>
            <w:tcW w:type="dxa" w:w="1728"/>
            <w:vAlign w:val="top"/>
          </w:tcPr>
          <w:p>
            <w:pPr>
              <w:jc w:val="left"/>
            </w:pPr>
            <w:r/>
            <w:r>
              <w:rPr>
                <w:b w:val="0"/>
                <w:sz w:val="14"/>
              </w:rPr>
              <w:t>12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