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Inherited arrhythmia syndromes represent a particularly sensitive clinical system for detecting pathogenicity-label collapse. Clinical consequences of P/LP labels are immediate and high-impact, including ICD implantation, medication restrictions, and cascade family testing. At the same time, selection against pathogenic alleles is often less absolute than in fully penetrant lethal disorders, penetrance is frequently incomplete and context-dependent, susceptibility and modifier effects are common, population structure critically shapes frequency interpretation, and ClinVar coverage is relatively dense for canonical genes. Under these conditions, a single P/LP label is insufficient to encode biologically distinct states. Arrhythmia genes therefore serve as a natural stress-test for the coherence of public pathogenicity assertions, not an arbitrary scope limitation.</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This AC gate was treated as an operational reliability floor rather than a biological threshold; AC reliability was also reported as ordered strata (AC 20-49, 50-199, and &gt;=200) and tested across AC&gt;=10, 20, 50, 100, and 200.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We also added a clinical decision projection: for each red-priority case, we compared the decision pathway implied by reading the public P/LP label as high-penetrance Mendelian disease against the pathway implied by a state-aware susceptibility, carrier, or mechanism-review frame.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To reduce circularity risk, we pre-specified an independent blinded expert-pilot endpoint of "requires re-review" versus "does not require re-review" using a 23-variant packet (3 red-priority cases, 10 gray no-frequency-evidence cases, and 10 non-red controls); VITAL scores and route labels are hidden from the review form and retained only in the analysis key.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detectability checklists, pilot-review forms,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The argument-bearing statistic is that 92/262 AF-observed LOF/splice assertions (35.1%) were frequency-discordant, similar to missense assertions (19/66, 28.8%; Fisher OR=1.34, p=0.384). In other words, severe consequence annotation did not protect a public P/LP assertion from population-frequency contradiction. The broader AF-observed set contained 115/334 (34.4%) popmax/global alerts; those counts define the review burden, whereas the LOF/splice fraction defines the biological claim.</w:t>
      </w:r>
    </w:p>
    <w:p>
      <w:r>
        <w:t>The subsequent mechanism split is secondary decomposition, not the headline result. Frameshift, stop-gained, and canonical splice variants all showed naive frequency discordance.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 This is not an error-rate estimate; it is a label-state signal: the P/LP label often lacks the biological frame needed to interpret the assertion safely.</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Because this internal audit remains partly circular, we converted validation into a pre-specified external-review task rather than claiming independent diagnostic performance. The repository now includes a blinded expert pilot packet with 23 variants: the 3 red-priority cases, 10 gray no-frequency-evidence cases requiring detectability/deferred review decisions, and 10 non-red frequency-consistent controls. The review form exposes ClinVar, frequency, review, and variant-context fields but hides VITAL score, VITAL band, and pilot stratum. The pre-specified endpoint is expert consensus on "requires re-review" versus "does not require re-review"; planned metrics are sensitivity, specificity, PPV for red/gray routing, Cohen/Fleiss kappa, and discordance adjudication. Until this external pilot is completed, VITAL performance claims are limited to burden compression, internal consistency, and public-data audits.</w:t>
      </w:r>
    </w:p>
    <w:p>
      <w:r>
        <w:t>AC reliability behaved as a gradient rather than a binary property. Among 115 popmax/global AF flags, 100 had AC &lt;10 or unavailable and generated no red-priority calls; 6 were AC 10-19 and generated none; 6 were AC 20-49 and contained TRDN plus borderline KCNH2; 2 were AC 50-199 and generated none; and 1 was AC &gt;=200, SCN5A. Sensitivity analysis showed the operational consequence: AC&gt;=10 produced 4 red-like calls by adding CACNB2, AC&gt;=20 produced the default 3-case queue, and AC&gt;=50/100/200 retained only SCN5A. Thus KCNH2 (global AC=24) and TRDN (global AC=40) are near-boundary AC-supported signals, whereas SCN5A has substantially stronger support (global AC=214; AFR popmax AC=190).</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Clinical decision projection shows one label can imply incompatible pathways</w:t>
      </w:r>
    </w:p>
    <w:p>
      <w:r>
        <w:t>The practical consequence of label-state collapse is that one public P/LP label can support two incompatible clinical pathways depending on how it is read. We therefore projected, without assuming any real patient-level downstream event, what follows if each red-priority label is read as unqualified high-penetrance Mendelian disease versus as the mechanism-aware state required by the frequency and evidence context.</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Case</w:t>
            </w:r>
          </w:p>
        </w:tc>
        <w:tc>
          <w:tcPr>
            <w:tcW w:type="dxa" w:w="2592"/>
            <w:vAlign w:val="top"/>
            <w:shd w:fill="D9EAF7"/>
          </w:tcPr>
          <w:p>
            <w:pPr>
              <w:jc w:val="left"/>
            </w:pPr>
            <w:r/>
            <w:r>
              <w:rPr>
                <w:b/>
                <w:sz w:val="16"/>
              </w:rPr>
              <w:t>If read as generic Mendelian P/LP</w:t>
            </w:r>
          </w:p>
        </w:tc>
        <w:tc>
          <w:tcPr>
            <w:tcW w:type="dxa" w:w="2592"/>
            <w:vAlign w:val="top"/>
            <w:shd w:fill="D9EAF7"/>
          </w:tcPr>
          <w:p>
            <w:pPr>
              <w:jc w:val="left"/>
            </w:pPr>
            <w:r/>
            <w:r>
              <w:rPr>
                <w:b/>
                <w:sz w:val="16"/>
              </w:rPr>
              <w:t>If read as state-aware assertion</w:t>
            </w:r>
          </w:p>
        </w:tc>
        <w:tc>
          <w:tcPr>
            <w:tcW w:type="dxa" w:w="2592"/>
            <w:vAlign w:val="top"/>
            <w:shd w:fill="D9EAF7"/>
          </w:tcPr>
          <w:p>
            <w:pPr>
              <w:jc w:val="left"/>
            </w:pPr>
            <w:r/>
            <w:r>
              <w:rPr>
                <w:b/>
                <w:sz w:val="16"/>
              </w:rPr>
              <w:t>Guideline-facing tension</w:t>
            </w:r>
          </w:p>
        </w:tc>
      </w:tr>
      <w:tr>
        <w:tc>
          <w:tcPr>
            <w:tcW w:type="dxa" w:w="2592"/>
            <w:vAlign w:val="top"/>
          </w:tcPr>
          <w:p>
            <w:pPr>
              <w:jc w:val="left"/>
            </w:pPr>
            <w:r/>
            <w:r>
              <w:rPr>
                <w:b w:val="0"/>
                <w:sz w:val="16"/>
              </w:rPr>
              <w:t>SCN5A VCV000440850</w:t>
            </w:r>
          </w:p>
        </w:tc>
        <w:tc>
          <w:tcPr>
            <w:tcW w:type="dxa" w:w="2592"/>
            <w:vAlign w:val="top"/>
          </w:tcPr>
          <w:p>
            <w:pPr>
              <w:jc w:val="left"/>
            </w:pPr>
            <w:r/>
            <w:r>
              <w:rPr>
                <w:b w:val="0"/>
                <w:sz w:val="16"/>
              </w:rPr>
              <w:t>Can support Brugada diagnostic closure, broad cascade testing, arrhythmia surveillance, drug-avoidance counseling, and phenotype-triggered ICD/risk-stratification discussions</w:t>
            </w:r>
          </w:p>
        </w:tc>
        <w:tc>
          <w:tcPr>
            <w:tcW w:type="dxa" w:w="2592"/>
            <w:vAlign w:val="top"/>
          </w:tcPr>
          <w:p>
            <w:pPr>
              <w:jc w:val="left"/>
            </w:pPr>
            <w:r/>
            <w:r>
              <w:rPr>
                <w:b w:val="0"/>
                <w:sz w:val="16"/>
              </w:rPr>
              <w:t>Does not establish monogenic Brugada diagnosis by itself; cascade testing should be limited or qualified as susceptibility/haplotype tracking, and management should remain phenotype/context driven</w:t>
            </w:r>
          </w:p>
        </w:tc>
        <w:tc>
          <w:tcPr>
            <w:tcW w:type="dxa" w:w="2592"/>
            <w:vAlign w:val="top"/>
          </w:tcPr>
          <w:p>
            <w:pPr>
              <w:jc w:val="left"/>
            </w:pPr>
            <w:r/>
            <w:r>
              <w:rPr>
                <w:b w:val="0"/>
                <w:sz w:val="16"/>
              </w:rPr>
              <w:t>ClinVar terminology allows low-penetrance and risk-allele states, but the public record remains generic Pathogenic with no assertion criteria</w:t>
            </w:r>
          </w:p>
        </w:tc>
      </w:tr>
      <w:tr>
        <w:tc>
          <w:tcPr>
            <w:tcW w:type="dxa" w:w="2592"/>
            <w:vAlign w:val="top"/>
          </w:tcPr>
          <w:p>
            <w:pPr>
              <w:jc w:val="left"/>
            </w:pPr>
            <w:r/>
            <w:r>
              <w:rPr>
                <w:b w:val="0"/>
                <w:sz w:val="16"/>
              </w:rPr>
              <w:t>TRDN VCV001325231</w:t>
            </w:r>
          </w:p>
        </w:tc>
        <w:tc>
          <w:tcPr>
            <w:tcW w:type="dxa" w:w="2592"/>
            <w:vAlign w:val="top"/>
          </w:tcPr>
          <w:p>
            <w:pPr>
              <w:jc w:val="left"/>
            </w:pPr>
            <w:r/>
            <w:r>
              <w:rPr>
                <w:b w:val="0"/>
                <w:sz w:val="16"/>
              </w:rPr>
              <w:t>Can be misread as CPVT5 disease causality and dominant-risk family counseling if phase and second-allele status are ignored</w:t>
            </w:r>
          </w:p>
        </w:tc>
        <w:tc>
          <w:tcPr>
            <w:tcW w:type="dxa" w:w="2592"/>
            <w:vAlign w:val="top"/>
          </w:tcPr>
          <w:p>
            <w:pPr>
              <w:jc w:val="left"/>
            </w:pPr>
            <w:r/>
            <w:r>
              <w:rPr>
                <w:b w:val="0"/>
                <w:sz w:val="16"/>
              </w:rPr>
              <w:t>Should be routed as carrier-compatible or biallelic affected-state evidence; family testing should prioritize phase and second-allele clarification</w:t>
            </w:r>
          </w:p>
        </w:tc>
        <w:tc>
          <w:tcPr>
            <w:tcW w:type="dxa" w:w="2592"/>
            <w:vAlign w:val="top"/>
          </w:tcPr>
          <w:p>
            <w:pPr>
              <w:jc w:val="left"/>
            </w:pPr>
            <w:r/>
            <w:r>
              <w:rPr>
                <w:b w:val="0"/>
                <w:sz w:val="16"/>
              </w:rPr>
              <w:t>Generic P/LP does not encode carrier versus affected-state use</w:t>
            </w:r>
          </w:p>
        </w:tc>
      </w:tr>
      <w:tr>
        <w:tc>
          <w:tcPr>
            <w:tcW w:type="dxa" w:w="2592"/>
            <w:vAlign w:val="top"/>
          </w:tcPr>
          <w:p>
            <w:pPr>
              <w:jc w:val="left"/>
            </w:pPr>
            <w:r/>
            <w:r>
              <w:rPr>
                <w:b w:val="0"/>
                <w:sz w:val="16"/>
              </w:rPr>
              <w:t>KCNH2 VCV004535537</w:t>
            </w:r>
          </w:p>
        </w:tc>
        <w:tc>
          <w:tcPr>
            <w:tcW w:type="dxa" w:w="2592"/>
            <w:vAlign w:val="top"/>
          </w:tcPr>
          <w:p>
            <w:pPr>
              <w:jc w:val="left"/>
            </w:pPr>
            <w:r/>
            <w:r>
              <w:rPr>
                <w:b w:val="0"/>
                <w:sz w:val="16"/>
              </w:rPr>
              <w:t>Can support Long QT diagnostic closure, familial testing, QT surveillance, and medication-avoidance decisions if accepted as unqualified LP</w:t>
            </w:r>
          </w:p>
        </w:tc>
        <w:tc>
          <w:tcPr>
            <w:tcW w:type="dxa" w:w="2592"/>
            <w:vAlign w:val="top"/>
          </w:tcPr>
          <w:p>
            <w:pPr>
              <w:jc w:val="left"/>
            </w:pPr>
            <w:r/>
            <w:r>
              <w:rPr>
                <w:b w:val="0"/>
                <w:sz w:val="16"/>
              </w:rPr>
              <w:t>Requires splice/same-site/segregation adjudication; cascade and management decisions should remain provisional and phenotype-linked</w:t>
            </w:r>
          </w:p>
        </w:tc>
        <w:tc>
          <w:tcPr>
            <w:tcW w:type="dxa" w:w="2592"/>
            <w:vAlign w:val="top"/>
          </w:tcPr>
          <w:p>
            <w:pPr>
              <w:jc w:val="left"/>
            </w:pPr>
            <w:r/>
            <w:r>
              <w:rPr>
                <w:b w:val="0"/>
                <w:sz w:val="16"/>
              </w:rPr>
              <w:t>Single-submitter LP plus AC-supported frequency tension creates an expert-review need, but the public label does not expose splice certainty or penetrance state</w:t>
            </w:r>
          </w:p>
        </w:tc>
      </w:tr>
    </w:tbl>
    <w:p/>
    <w:p>
      <w:r>
        <w:t>This is a decision projection, not a claim that misdiagnosis or cascade testing occurred. Its point is narrower: a generic P/LP label can travel into diagnostic and family-management workflows while failing to preserve the biological state needed to choose the correct pathway. No red-priority case is asserted here to conflict with a ClinGen expert-panel classification; the tension is semantic and operational. ClinVar/ClinGen terminology already recognizes risk-allele and low-penetrance categories, and ClinVar review status distinguishes single-submitter/no-criteria records from expert-panel or practice-guideline assertions. The problem is that the exported public label can still be read as a single undifferentiated Mendelian P/LP assertion.</w:t>
      </w:r>
    </w:p>
    <w:p>
      <w:r>
        <w:rPr>
          <w:b/>
        </w:rPr>
        <w:t>Box 1. Clinical consequence of label-state collapse</w:t>
      </w:r>
    </w:p>
    <w:p>
      <w:r>
        <w:t>This illustrative scenario is a decision projection, not an observed patient case. A 25-year-old individual undergoes incidental genetic testing following evaluation for nonspecific palpitations. No definitive clinical diagnosis is established. A variant in SCN5A (VCV000440850) is reported as pathogenic in ClinVar.</w:t>
      </w:r>
    </w:p>
    <w:p>
      <w:r>
        <w:t>Under a standard Mendelian interpretation of the P/LP label, the variant is considered causative for Brugada syndrome, supporting diagnostic closure, cascade family testing, and consideration of preventive interventions.</w:t>
      </w:r>
    </w:p>
    <w:p>
      <w:r>
        <w:t>In contrast, population-aware interpretation reveals an AFR popmax allele frequency of 5.68e-3 (AC=190), incompatible with a high-penetrance Mendelian model. Under this interpretation, the variant is reframed as a susceptibility or low-penetrance allele, diagnostic closure is avoided, and management remains phenotype-driven.</w:t>
      </w:r>
    </w:p>
    <w:p>
      <w:r>
        <w:t>These two interpretations produce mutually incompatible clinical pathways from the same underlying evidence, reflecting a failure of the P/LP label to encode biological state.</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 Supplementary Table S37 makes detectability assessment a required field set for gray-to-actionable routing, including exome presence, genome presence, coverage sufficiency, mapping-quality concern, representation ambiguity, and a final detectability-complete flag. This preserves a separate no-frequency-evidence state rather than silently converting missingness into rarity.</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guideline-facing tension is therefore not that VITAL overrules ACMG/AMP, ClinGen, or ClinVar. It is that public label transmission can discard distinctions those frameworks already require reviewers to consider: disease mechanism, penetrance, evidence strength, assertion review level, and whether an assertion is better represented as a low-penetrance or risk-allele state. In the 3 red-priority cases, no ClinGen expert-panel or practice-guideline review was present in the public record. The claim is not expert-panel disagreement; it is that single-submitter or no-criteria P/LP labels can enter clinical workflow without preserving the state qualifiers needed for safe use.</w:t>
      </w:r>
    </w:p>
    <w:p>
      <w:r>
        <w:t>De novo occurrence is conventionally treated as strong support for pathogenicity because it raises the prior probability for a causal event in an individual proband. In arrhythmia genes with incomplete penetrance and context-dependent expressivity, however, de novo status does not resolve frequency-assertion tension at the label level. SCN5A VCV000440850 remains problematic even if observed as de novo in an individual case: an AFR popmax AF of 5.68e-3 is incompatible with a high-penetrance Mendelian Brugada assertion as a class. De novo evidence changes the case-level prior, but it does not erase the population-level contradiction or specify whether the public P/LP label represents Mendelian disease, low-penetrance susceptibility, or a context-dependent modifier. De novo evidence strengthens the case for expert review; it does not substitute for state-aware interpretation.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the analysis is intentionally restricted to inherited arrhythmia genes, where clinical consequence, penetrance architecture, and population structure create the conditions most favourable for detecting frequency-assertion tension. Generalizability to other disease domains requires domain-specific calibration and is not assumed.</w:t>
      </w:r>
    </w:p>
    <w:p>
      <w:r>
        <w:t>Third,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Fourth, the score and ontology do not directly model penetrance, phase, zygosity, inheritance, phenotype specificity, segregation, MAVE/functional data, transcript rescue, NMD, or private laboratory evidence. These remain expert review tasks.</w:t>
      </w:r>
    </w:p>
    <w:p>
      <w:r>
        <w:t>Fifth,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Sixth, the internal consistency audit uses proxy labels and is partly circular because weak review and AC-supported frequency evidence help define both the operational positives and the red gate. These metrics should be read as burden diagnostics, not diagnostic accuracy. To address this directly, we pre-specified a blinded expert pilot with an external endpoint of "requires re-review" versus "does not require re-review"; however, that consensus review is not yet complete, so no independent sensitivity, specificity, PPV, or kappa claims are made from it in the present manuscript.</w:t>
      </w:r>
    </w:p>
    <w:p>
      <w:r>
        <w:t>Seventh,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Run a clinical decision projection for red-priority variants before acting: ask what would follow if the label were treated as Mendelian disease, and what would follow if it were susceptibility, carrier-state, or mechanism-unresolved evidence.</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clinical decision-projection outputs, guideline-tension audits, frequency-evaluability gap outputs, operational label-state transition outputs, non-evaluable routing outputs, temporal robustness outputs, clinical decision-risk proxy outputs, blinded expert-pilot forms and keys, AC reliability strata, detectability-required fields, contextual overlay modules,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