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and historical threshold calibration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red sets remained very small (arrhythmia n=2; pooled multi-domain n=4), strict reclassification was not enriched, and broad/expanded instability endpoints provided only qualitative directional enrichment. External stress tests assessed false-positive burden outside the arrhythmia context; their small size means absence of red calls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external disease panels, and a negative-control gene set.</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explore whether VITAL enriches for future ClinVar instability rather than only describing current data,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check rather than a definitive predictive evaluation.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5" name="Picture 5"/>
            <wp:cNvGraphicFramePr>
              <a:graphicFrameLocks noChangeAspect="1"/>
            </wp:cNvGraphicFramePr>
            <a:graphic>
              <a:graphicData uri="http://schemas.openxmlformats.org/drawingml/2006/picture">
                <pic:pic>
                  <pic:nvPicPr>
                    <pic:cNvPr id="0" name="vital_external_panel_score_distribution.png"/>
                    <pic:cNvPicPr/>
                  </pic:nvPicPr>
                  <pic:blipFill>
                    <a:blip r:embed="rId13"/>
                    <a:stretch>
                      <a:fillRect/>
                    </a:stretch>
                  </pic:blipFill>
                  <pic:spPr>
                    <a:xfrm>
                      <a:off x="0" y="0"/>
                      <a:ext cx="6217920" cy="3165487"/>
                    </a:xfrm>
                    <a:prstGeom prst="rect"/>
                  </pic:spPr>
                </pic:pic>
              </a:graphicData>
            </a:graphic>
          </wp:inline>
        </w:drawing>
      </w:r>
    </w:p>
    <w:p>
      <w:pPr>
        <w:jc w:val="center"/>
      </w:pPr>
      <w:r>
        <w:rPr>
          <w:i/>
          <w:sz w:val="18"/>
        </w:rPr>
        <w:t>Figure 5.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6" name="Picture 6"/>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4"/>
                    <a:stretch>
                      <a:fillRect/>
                    </a:stretch>
                  </pic:blipFill>
                  <pic:spPr>
                    <a:xfrm>
                      <a:off x="0" y="0"/>
                      <a:ext cx="6217920" cy="4304714"/>
                    </a:xfrm>
                    <a:prstGeom prst="rect"/>
                  </pic:spPr>
                </pic:pic>
              </a:graphicData>
            </a:graphic>
          </wp:inline>
        </w:drawing>
      </w:r>
    </w:p>
    <w:p>
      <w:pPr>
        <w:jc w:val="center"/>
      </w:pPr>
      <w:r>
        <w:rPr>
          <w:i/>
          <w:sz w:val="18"/>
        </w:rPr>
        <w:t>Figure 6. KCNH2 non-overlap diagnostic analysis.</w:t>
      </w:r>
    </w:p>
    <w:p/>
    <w:p>
      <w:pPr>
        <w:jc w:val="center"/>
      </w:pPr>
      <w:r>
        <w:drawing>
          <wp:inline xmlns:a="http://schemas.openxmlformats.org/drawingml/2006/main" xmlns:pic="http://schemas.openxmlformats.org/drawingml/2006/picture">
            <wp:extent cx="6217920" cy="3497580"/>
            <wp:docPr id="7" name="Picture 7"/>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5"/>
                    <a:stretch>
                      <a:fillRect/>
                    </a:stretch>
                  </pic:blipFill>
                  <pic:spPr>
                    <a:xfrm>
                      <a:off x="0" y="0"/>
                      <a:ext cx="6217920" cy="3497580"/>
                    </a:xfrm>
                    <a:prstGeom prst="rect"/>
                  </pic:spPr>
                </pic:pic>
              </a:graphicData>
            </a:graphic>
          </wp:inline>
        </w:drawing>
      </w:r>
    </w:p>
    <w:p>
      <w:pPr>
        <w:jc w:val="center"/>
      </w:pPr>
      <w:r>
        <w:rPr>
          <w:i/>
          <w:sz w:val="18"/>
        </w:rPr>
        <w:t>Figure 7.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expanded multi-domain analysis, pooled-deduplicated n increased to 3,063 and the VITAL-red set increased to 4, but the same caution remains: strict events were not enriched (0/4), broad instability was 2/4, and the expanded endpoint was 3/4. These numbers are directionally consistent but still sparse. Historical threshold calibration confirmed that the prespecified threshold 70 is not the enrichment-maximizing threshold in the sparse 2023-to-2026 dataset; it remains an operational review threshold rather than a fitted optimum. The appropriately modest interpretation is that VITAL may identify an extreme-priority subset for monitoring; it does not capture most future ClinVar changes and should not be presented as a stand-alone predictor.</w:t>
      </w:r>
    </w:p>
    <w:p>
      <w:r>
        <w:t>Ninth, external-domain stress tests argue against simple arrhythmia overfitting, but they are not a strong external validation set. Cardiomyopathy produced one VITAL-red call among 300 current sampled variants, while epilepsy, hearing loss, random ClinVar P/LP, and the BRCA/MMR/APC descriptive comparator produced none. In the historical baseline, cardiomyopathy, epilepsy, and hearing loss also produced 0 red calls at AC&gt;=20, while the random ClinVar sample produced 2. The hearing-loss and random samples had many naive AF flags but no red-priority explosion. This shows conservative behavior outside the development context and reframes VITAL as workflow burden reduction: fewer false-positive re-evaluation flags without manual curation. The BRCA/MMR/APC result is especially limited because those genes are affected by incomplete penetrance and founder effects.</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Second, the component maxima are expert-specified rather than empirically learned. Weight-profile sensitivity showed that no new red variants appeared under five alternative profiles, but KCNH2 was unstable in 3/5 profiles; future disease-specific implementations should recalibrate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expanded multi-domain analysis increases the denominator but does not eliminate sparsity of red calls; stratified bootstrap behaves as binary-noise sensitivity rather than a smooth stable effect-size estimator. The appropriate interpretation is preliminary qualitative enrichment rather than proof of future reclassification prediction. Fifth,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Sixth, pooled multi-domain analysis mixes different disease architectures, baseline event rates, and error mechanisms. We therefore report within-domain metrics alongside pooled-deduplicated metrics, and the pooled estimate should be read as a sensitivity analysis rather than a primary endpoint. Seventh, cross-domain deduplication requires an operational priority rule. We used a prespecified domain priority followed by maximum VITAL score as a tie-breaker, and no red calls were removed by deduplication; nevertheless, a variant that is red in one domain and non-red in another could be affected by this rule in future datasets. Eighth,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Ninth, external disease-domain panels were intentionally small and should be interpreted as false-positive-burden and portability stress tests, not sensitivity analyses; without independent truth labels, they cannot show whether true reclassification candidates were missed. Tenth, the BRCA/MMR/APC panel is retained only as a descriptive comparator, not a clean negative control, because cancer-predisposition genes have founder effects, incomplete penetrance, and disease-mechanism differences from inherited arrhythmia genes. Eleventh, LOF subtype annotation was derived from ClinVar title/HGVS strings and was used only descriptively; it does not replace transcript-aware consequence annotation, NMD prediction, exon/domain context, MAVE data, or curated functional assays. Twelfth, the KCNH2 duplication result is statistical rather than mechanistic: duplications account for much of the observed non-overlap signal, but the underlying cause remains unresolved. Thirteenth, short-read gnomAD data remain limited for structurally complex variants, and even genome data may not fully resolve duplications or complex indels.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Secondary historical audits across 3,063 pooled-deduplicated variants remain underpowered and should be interpreted only as qualitative consistency checks. The intended clinical value is therefore not prediction in isolation; it is reducing false-positive variant re-evaluation burden without replacing clinician or laboratory decision-making.</w:t>
      </w:r>
    </w:p>
    <w:p>
      <w:pPr>
        <w:pStyle w:val="Heading1"/>
      </w:pPr>
      <w:r>
        <w:t>Data availability</w:t>
      </w:r>
    </w:p>
    <w:p>
      <w:r>
        <w:t>Analyses were conducted in April 2026 using gnomAD v4.1.1 exome and genome data queried through the gnomAD GraphQL API. ClinVar data were retrieved through the NCBI Entrez API and the ClinVar bulk variant summary file, including the January 2023 archived snapshot for historical enrichment analysis. UCSC genome sequence and annotation APIs were used for GC and repeat-context analyses. Pipeline source code, cached intermediate files, figures, and machine-readable outputs are available in the project repository.</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figures/vital_clinical_workflow.png: clinician-facing workflow schematic linking ClinVar input, VITAL risk prioritization, review queue, and expert decision-making.</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