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Public P/LP labels can become logically insufficient when read as unqualified high-penetrance Mendelian assertions despite contradictory population evidence. We tested whether ClinVar pathogenic/likely pathogenic (P/LP) arrhythmia assertions remain coherent when evaluated against popmax, allele count (AC), variant representation, and mechanism-aware label states rather than global AF alone.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VITAL (Variant Interpretation Tension and Allele Load) was used as an explainable detection layer for frequency-assertion tension, and a compact pathogenicity-label ontology was used to separate Mendelian disease, susceptibility, carrier-state, low-penetrance, annotation-inflated, and representation-uncertain assertions.</w:t>
      </w:r>
    </w:p>
    <w:p>
      <w:r>
        <w:rPr>
          <w:b/>
        </w:rPr>
        <w:t>Results:</w:t>
      </w:r>
      <w:r>
        <w:t xml:space="preserve"> The central result is a logical incompatibility class: in 3 red-priority cases, the public P/LP label, observed population frequency, and plausible disease mechanism could not simultaneously support an unqualified high-penetrance Mendelian reading. SCN5A VCV000440850 required susceptibility/haplotype framing rather than generic Mendelian pathogenicity; TRDN VCV001325231 required carrier or biallelic affected-state framing rather than dominant pathogenicity; and KCNH2 VCV004535537 required mechanism-qualified expert review rather than reliance on severe annotation alone. This label-state problem sits within a broader frequency-evidence failure: only 334/1,731 variants (19.3%) had usable exact AF evidence, leaving 1,397 (80.7%) as a non-evaluable representation gap.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VITAL compressed 115 frequency-discordant records to 3 urgent state-review cases.</w:t>
      </w:r>
    </w:p>
    <w:p>
      <w:r>
        <w:rPr>
          <w:b/>
        </w:rPr>
        <w:t>Conclusion:</w:t>
      </w:r>
      <w:r>
        <w:t xml:space="preserve"> The current P/LP label is insufficient when it permits mutually incompatible high-penetrance Mendelian interpretations under standard clinical reading. Susceptibility is not equivalent to Mendelian disease, carrier architecture is not equivalent to dominant pathogenicity, and severe annotation is not equivalent to high penetrance. VITAL makes this label-state collapse visible; the biological contradiction is the central result.</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Inherited arrhythmia syndromes represent a particularly sensitive clinical system for detecting pathogenicity-label collapse. Clinical consequences of P/LP labels are immediate and high-impact, including ICD implantation, medication restrictions, and cascade family testing. At the same time, selection against pathogenic alleles is often less absolute than in fully penetrant lethal disorders, penetrance is frequently incomplete and context-dependent, susceptibility and modifier effects are common, population structure critically shapes frequency interpretation, and ClinVar coverage is relatively dense for canonical genes. Under these conditions, a single P/LP label is insufficient to encode biologically distinct states. Arrhythmia genes therefore serve as a natural stress-test for the coherence of public pathogenicity assertions, not an arbitrary scope limitation.</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collapse mutually incompatible biological states into one P/LP bucket: susceptibility or drug-response haplotypes can be flattened into Mendelian pathogenicity, recessive carrier states can masquerade as dominant disease assertions, and severe annotations can inflate confidence when mechanism-specific evidence is thin. We use VITAL as an explainable detection layer for this collapse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This AC gate was treated as an operational reliability floor rather than a biological threshold; AC reliability was also reported as ordered strata (AC 20-49, 50-199, and &gt;=200) and tested across AC&gt;=10, 20, 50, 100, and 200. These thresholds were used for review prioritization, not automatic classification.</w:t>
      </w:r>
    </w:p>
    <w:p>
      <w:pPr>
        <w:pStyle w:val="Heading2"/>
      </w:pPr>
      <w:r>
        <w:t>VITAL score and red-priority gate</w:t>
      </w:r>
    </w:p>
    <w:p>
      <w:r>
        <w:t>VITAL is a 0-100 frequency-assertion tension score used to detect label-state collapse.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For red-priority cases, we performed a logical incompatibility audit that explicitly compared the public ClinVar assertion, gnomAD population reality, and the biological mechanism frame required for a high-penetrance Mendelian interpretation.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To reduce circularity risk, we pre-specified an independent blinded expert-pilot endpoint of "requires re-review" versus "does not require re-review" using a 23-variant packet (3 red-priority cases, 10 gray no-frequency-evidence cases, and 10 non-red controls); VITAL scores and route labels are hidden from the review form and retained only in the analysis key.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detectability checklists, pilot-review forms,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r>
        <w:t>The 1,397 non-evaluable variants were routed as a practical gray queue rather than left as an undifferentiated blind spot.</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Non-evaluable category</w:t>
            </w:r>
          </w:p>
        </w:tc>
        <w:tc>
          <w:tcPr>
            <w:tcW w:type="dxa" w:w="3456"/>
            <w:vAlign w:val="top"/>
            <w:shd w:fill="D9EAF7"/>
          </w:tcPr>
          <w:p>
            <w:pPr>
              <w:jc w:val="left"/>
            </w:pPr>
            <w:r/>
            <w:r>
              <w:rPr>
                <w:b/>
                <w:sz w:val="16"/>
              </w:rPr>
              <w:t>Recommended next step</w:t>
            </w:r>
          </w:p>
        </w:tc>
        <w:tc>
          <w:tcPr>
            <w:tcW w:type="dxa" w:w="3456"/>
            <w:vAlign w:val="top"/>
            <w:shd w:fill="D9EAF7"/>
          </w:tcPr>
          <w:p>
            <w:pPr>
              <w:jc w:val="left"/>
            </w:pPr>
            <w:r/>
            <w:r>
              <w:rPr>
                <w:b/>
                <w:sz w:val="16"/>
              </w:rPr>
              <w:t>Interpretation guardrail</w:t>
            </w:r>
          </w:p>
        </w:tc>
      </w:tr>
      <w:tr>
        <w:tc>
          <w:tcPr>
            <w:tcW w:type="dxa" w:w="3456"/>
            <w:vAlign w:val="top"/>
          </w:tcPr>
          <w:p>
            <w:pPr>
              <w:jc w:val="left"/>
            </w:pPr>
            <w:r/>
            <w:r>
              <w:rPr>
                <w:b w:val="0"/>
                <w:sz w:val="16"/>
              </w:rPr>
              <w:t>Indel/duplication with no gnomAD record</w:t>
            </w:r>
          </w:p>
        </w:tc>
        <w:tc>
          <w:tcPr>
            <w:tcW w:type="dxa" w:w="3456"/>
            <w:vAlign w:val="top"/>
          </w:tcPr>
          <w:p>
            <w:pPr>
              <w:jc w:val="left"/>
            </w:pPr>
            <w:r/>
            <w:r>
              <w:rPr>
                <w:b w:val="0"/>
                <w:sz w:val="16"/>
              </w:rPr>
              <w:t>Genome-level query plus orthogonal validation when clinically material</w:t>
            </w:r>
          </w:p>
        </w:tc>
        <w:tc>
          <w:tcPr>
            <w:tcW w:type="dxa" w:w="3456"/>
            <w:vAlign w:val="top"/>
          </w:tcPr>
          <w:p>
            <w:pPr>
              <w:jc w:val="left"/>
            </w:pPr>
            <w:r/>
            <w:r>
              <w:rPr>
                <w:b w:val="0"/>
                <w:sz w:val="16"/>
              </w:rPr>
              <w:t>Do not interpret absence as rarity</w:t>
            </w:r>
          </w:p>
        </w:tc>
      </w:tr>
      <w:tr>
        <w:tc>
          <w:tcPr>
            <w:tcW w:type="dxa" w:w="3456"/>
            <w:vAlign w:val="top"/>
          </w:tcPr>
          <w:p>
            <w:pPr>
              <w:jc w:val="left"/>
            </w:pPr>
            <w:r/>
            <w:r>
              <w:rPr>
                <w:b w:val="0"/>
                <w:sz w:val="16"/>
              </w:rPr>
              <w:t>Allele-discordant SNV/MNV</w:t>
            </w:r>
          </w:p>
        </w:tc>
        <w:tc>
          <w:tcPr>
            <w:tcW w:type="dxa" w:w="3456"/>
            <w:vAlign w:val="top"/>
          </w:tcPr>
          <w:p>
            <w:pPr>
              <w:jc w:val="left"/>
            </w:pPr>
            <w:r/>
            <w:r>
              <w:rPr>
                <w:b w:val="0"/>
                <w:sz w:val="16"/>
              </w:rPr>
              <w:t>Normalize, left-align, verify allele, and requery</w:t>
            </w:r>
          </w:p>
        </w:tc>
        <w:tc>
          <w:tcPr>
            <w:tcW w:type="dxa" w:w="3456"/>
            <w:vAlign w:val="top"/>
          </w:tcPr>
          <w:p>
            <w:pPr>
              <w:jc w:val="left"/>
            </w:pPr>
            <w:r/>
            <w:r>
              <w:rPr>
                <w:b w:val="0"/>
                <w:sz w:val="16"/>
              </w:rPr>
              <w:t>Same-site observation is not exact-allele AF</w:t>
            </w:r>
          </w:p>
        </w:tc>
      </w:tr>
      <w:tr>
        <w:tc>
          <w:tcPr>
            <w:tcW w:type="dxa" w:w="3456"/>
            <w:vAlign w:val="top"/>
          </w:tcPr>
          <w:p>
            <w:pPr>
              <w:jc w:val="left"/>
            </w:pPr>
            <w:r/>
            <w:r>
              <w:rPr>
                <w:b w:val="0"/>
                <w:sz w:val="16"/>
              </w:rPr>
              <w:t>Exact match without usable AF block</w:t>
            </w:r>
          </w:p>
        </w:tc>
        <w:tc>
          <w:tcPr>
            <w:tcW w:type="dxa" w:w="3456"/>
            <w:vAlign w:val="top"/>
          </w:tcPr>
          <w:p>
            <w:pPr>
              <w:jc w:val="left"/>
            </w:pPr>
            <w:r/>
            <w:r>
              <w:rPr>
                <w:b w:val="0"/>
                <w:sz w:val="16"/>
              </w:rPr>
              <w:t>Retain gray status and recheck in future freeze</w:t>
            </w:r>
          </w:p>
        </w:tc>
        <w:tc>
          <w:tcPr>
            <w:tcW w:type="dxa" w:w="3456"/>
            <w:vAlign w:val="top"/>
          </w:tcPr>
          <w:p>
            <w:pPr>
              <w:jc w:val="left"/>
            </w:pPr>
            <w:r/>
            <w:r>
              <w:rPr>
                <w:b w:val="0"/>
                <w:sz w:val="16"/>
              </w:rPr>
              <w:t>Do not convert missing AF to AF=0</w:t>
            </w:r>
          </w:p>
        </w:tc>
      </w:tr>
      <w:tr>
        <w:tc>
          <w:tcPr>
            <w:tcW w:type="dxa" w:w="3456"/>
            <w:vAlign w:val="top"/>
          </w:tcPr>
          <w:p>
            <w:pPr>
              <w:jc w:val="left"/>
            </w:pPr>
            <w:r/>
            <w:r>
              <w:rPr>
                <w:b w:val="0"/>
                <w:sz w:val="16"/>
              </w:rPr>
              <w:t>No-record SNV in constrained gene</w:t>
            </w:r>
          </w:p>
        </w:tc>
        <w:tc>
          <w:tcPr>
            <w:tcW w:type="dxa" w:w="3456"/>
            <w:vAlign w:val="top"/>
          </w:tcPr>
          <w:p>
            <w:pPr>
              <w:jc w:val="left"/>
            </w:pPr>
            <w:r/>
            <w:r>
              <w:rPr>
                <w:b w:val="0"/>
                <w:sz w:val="16"/>
              </w:rPr>
              <w:t>Deferred review with phenotype, segregation, and mechanism context</w:t>
            </w:r>
          </w:p>
        </w:tc>
        <w:tc>
          <w:tcPr>
            <w:tcW w:type="dxa" w:w="3456"/>
            <w:vAlign w:val="top"/>
          </w:tcPr>
          <w:p>
            <w:pPr>
              <w:jc w:val="left"/>
            </w:pPr>
            <w:r/>
            <w:r>
              <w:rPr>
                <w:b w:val="0"/>
                <w:sz w:val="16"/>
              </w:rPr>
              <w:t>Absence alone supports neither consistency nor contradiction</w:t>
            </w:r>
          </w:p>
        </w:tc>
      </w:tr>
      <w:tr>
        <w:tc>
          <w:tcPr>
            <w:tcW w:type="dxa" w:w="3456"/>
            <w:vAlign w:val="top"/>
          </w:tcPr>
          <w:p>
            <w:pPr>
              <w:jc w:val="left"/>
            </w:pPr>
            <w:r/>
            <w:r>
              <w:rPr>
                <w:b w:val="0"/>
                <w:sz w:val="16"/>
              </w:rPr>
              <w:t>Complex allele or haplotype</w:t>
            </w:r>
          </w:p>
        </w:tc>
        <w:tc>
          <w:tcPr>
            <w:tcW w:type="dxa" w:w="3456"/>
            <w:vAlign w:val="top"/>
          </w:tcPr>
          <w:p>
            <w:pPr>
              <w:jc w:val="left"/>
            </w:pPr>
            <w:r/>
            <w:r>
              <w:rPr>
                <w:b w:val="0"/>
                <w:sz w:val="16"/>
              </w:rPr>
              <w:t>Resolve representation, phase, and haplotype literature</w:t>
            </w:r>
          </w:p>
        </w:tc>
        <w:tc>
          <w:tcPr>
            <w:tcW w:type="dxa" w:w="3456"/>
            <w:vAlign w:val="top"/>
          </w:tcPr>
          <w:p>
            <w:pPr>
              <w:jc w:val="left"/>
            </w:pPr>
            <w:r/>
            <w:r>
              <w:rPr>
                <w:b w:val="0"/>
                <w:sz w:val="16"/>
              </w:rPr>
              <w:t>Do not transfer single-site AF assumptions to multi-allelic assertions</w:t>
            </w:r>
          </w:p>
        </w:tc>
      </w:tr>
    </w:tbl>
    <w:p/>
    <w:p>
      <w:r>
        <w:t>The full routing table is provided as Supplementary Table S33.</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The argument-bearing statistic is that 92/262 AF-observed LOF/splice assertions (35.1%) were frequency-discordant, similar to missense assertions (19/66, 28.8%; Fisher OR=1.34, p=0.384). In other words, severe consequence annotation did not protect a public P/LP assertion from population-frequency contradiction. The broader AF-observed set contained 115/334 (34.4%) popmax/global alerts; those counts define the review burden, whereas the LOF/splice fraction defines the biological claim.</w:t>
      </w:r>
    </w:p>
    <w:p>
      <w:r>
        <w:t>The subsequent mechanism split is secondary decomposition, not the headline result. Frameshift, stop-gained, and canonical splice variants all showed naive frequency discordance.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 This is not an error-rate estimate; it is a label-state signal: the P/LP label often lacks the biological frame needed to interpret the assertion safely.</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An internal consistency audit supported the selected red gate but was not treated as diagnostic accuracy. The proxy positives were weak-review, AC-supported frequency signals; VITAL red captured the 3 operational positives at cutoffs 65-70 while avoiding proxy false-positive urgent review triggers.</w:t>
      </w:r>
    </w:p>
    <w:p>
      <w:r>
        <w:t>Because this internal audit remains partly circular, we converted validation into a pre-specified external-review task rather than claiming independent diagnostic performance. The repository now includes a blinded expert pilot packet with 23 variants: the 3 red-priority cases, 10 gray no-frequency-evidence cases requiring detectability/deferred review decisions, and 10 non-red frequency-consistent controls. The review form exposes ClinVar, frequency, review, and variant-context fields but hides VITAL score, VITAL band, and pilot stratum. The pre-specified endpoint is expert consensus on "requires re-review" versus "does not require re-review"; planned metrics are sensitivity, specificity, PPV for red/gray routing, Cohen/Fleiss kappa, and discordance adjudication. Until this external pilot is completed, VITAL performance claims are limited to burden compression, internal consistency, and public-data audits.</w:t>
      </w:r>
    </w:p>
    <w:p>
      <w:r>
        <w:t>AC reliability behaved as a gradient rather than a binary property. Among 115 popmax/global AF flags, 100 had AC &lt;10 or unavailable and generated no red-priority calls; 6 were AC 10-19 and generated none; 6 were AC 20-49 and contained TRDN plus borderline KCNH2; 2 were AC 50-199 and generated none; and 1 was AC &gt;=200, SCN5A. Sensitivity analysis showed the operational consequence: AC&gt;=10 produced 4 red-like calls by adding CACNB2, AC&gt;=20 produced the default 3-case queue, and AC&gt;=50/100/200 retained only SCN5A. Thus KCNH2 (global AC=24) and TRDN (global AC=40) are near-boundary AC-supported signals, whereas SCN5A has substantially stronger support (global AC=214; AFR popmax AC=190).</w:t>
      </w:r>
    </w:p>
    <w:p>
      <w:r>
        <w:t>Weight sensitivity was evaluated without outcome refitting. Across five alternative weight profiles, the red queue ranged from 1-3 variants and no new red variants appeared. SCN5A remained red in all five profiles, TRDN remained red in four of five, and KCNH2 remained red in two of five. One-weight-at-a-time perturbation showed the same pattern: SCN5A is an anchor signal, TRDN is near-stable but inheritance-routed, and KCNH2 is conditional/borderline.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Weight profile</w:t>
            </w:r>
          </w:p>
        </w:tc>
        <w:tc>
          <w:tcPr>
            <w:tcW w:type="dxa" w:w="3456"/>
            <w:vAlign w:val="top"/>
            <w:shd w:fill="D9EAF7"/>
          </w:tcPr>
          <w:p>
            <w:pPr>
              <w:jc w:val="left"/>
            </w:pPr>
            <w:r/>
            <w:r>
              <w:rPr>
                <w:b/>
                <w:sz w:val="16"/>
              </w:rPr>
              <w:t>Red count</w:t>
            </w:r>
          </w:p>
        </w:tc>
        <w:tc>
          <w:tcPr>
            <w:tcW w:type="dxa" w:w="3456"/>
            <w:vAlign w:val="top"/>
            <w:shd w:fill="D9EAF7"/>
          </w:tcPr>
          <w:p>
            <w:pPr>
              <w:jc w:val="left"/>
            </w:pPr>
            <w:r/>
            <w:r>
              <w:rPr>
                <w:b/>
                <w:sz w:val="16"/>
              </w:rPr>
              <w:t>Red variants retained</w:t>
            </w:r>
          </w:p>
        </w:tc>
      </w:tr>
      <w:tr>
        <w:tc>
          <w:tcPr>
            <w:tcW w:type="dxa" w:w="3456"/>
            <w:vAlign w:val="top"/>
          </w:tcPr>
          <w:p>
            <w:pPr>
              <w:jc w:val="left"/>
            </w:pPr>
            <w:r/>
            <w:r>
              <w:rPr>
                <w:b w:val="0"/>
                <w:sz w:val="16"/>
              </w:rPr>
              <w:t>Primary expert weights</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Balanced equal components</w:t>
            </w:r>
          </w:p>
        </w:tc>
        <w:tc>
          <w:tcPr>
            <w:tcW w:type="dxa" w:w="3456"/>
            <w:vAlign w:val="top"/>
          </w:tcPr>
          <w:p>
            <w:pPr>
              <w:jc w:val="left"/>
            </w:pPr>
            <w:r/>
            <w:r>
              <w:rPr>
                <w:b w:val="0"/>
                <w:sz w:val="16"/>
              </w:rPr>
              <w:t>1</w:t>
            </w:r>
          </w:p>
        </w:tc>
        <w:tc>
          <w:tcPr>
            <w:tcW w:type="dxa" w:w="3456"/>
            <w:vAlign w:val="top"/>
          </w:tcPr>
          <w:p>
            <w:pPr>
              <w:jc w:val="left"/>
            </w:pPr>
            <w:r/>
            <w:r>
              <w:rPr>
                <w:b w:val="0"/>
                <w:sz w:val="16"/>
              </w:rPr>
              <w:t>SCN5A</w:t>
            </w:r>
          </w:p>
        </w:tc>
      </w:tr>
      <w:tr>
        <w:tc>
          <w:tcPr>
            <w:tcW w:type="dxa" w:w="3456"/>
            <w:vAlign w:val="top"/>
          </w:tcPr>
          <w:p>
            <w:pPr>
              <w:jc w:val="left"/>
            </w:pPr>
            <w:r/>
            <w:r>
              <w:rPr>
                <w:b w:val="0"/>
                <w:sz w:val="16"/>
              </w:rPr>
              <w:t>Frequency dominant</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r>
        <w:tc>
          <w:tcPr>
            <w:tcW w:type="dxa" w:w="3456"/>
            <w:vAlign w:val="top"/>
          </w:tcPr>
          <w:p>
            <w:pPr>
              <w:jc w:val="left"/>
            </w:pPr>
            <w:r/>
            <w:r>
              <w:rPr>
                <w:b w:val="0"/>
                <w:sz w:val="16"/>
              </w:rPr>
              <w:t>Review-fragility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Technical-detectability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Reduced AF pressure</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bl>
    <w:p/>
    <w:p>
      <w:r>
        <w:t>Weight-profile sensitivity revealed heterogeneous confidence within the red-priority queue. SCN5A VCV000440850 was retained in all five alternative profiles, consistent with its extreme population frequency (AFR popmax AF=5.68e-3) dominating the score regardless of component weighting. TRDN VCV001325231 was retained in four of five profiles and lost only under the balanced equal-components profile, while one-weight perturbations showed additional sensitivity when frequency or AC support was downweighted. KCNH2 VCV004535537 was retained in only two of five profiles and was lost under reduced-AF, equal-weight, and frequency-dominant configurations, confirming that its red assignment is threshold-sensitive rather than robust. This gradient of stability reflects a real biological gradient: SCN5A represents a clear susceptibility-versus-Mendelian contradiction, TRDN represents a carrier-architecture framing problem with substantial AC support, and KCNH2 represents a borderline annotation-inflation case where the label-state concern is genuine but the evidence boundary is less definitive. The three cases are therefore not interchangeable urgent review calls. SCN5A and TRDN warrant immediate state-aware re-review; KCNH2 warrants flagging for expert adjudication with explicit acknowledgment that its red assignment is weight-dependent.</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Variant</w:t>
            </w:r>
          </w:p>
        </w:tc>
        <w:tc>
          <w:tcPr>
            <w:tcW w:type="dxa" w:w="1728"/>
            <w:vAlign w:val="top"/>
            <w:shd w:fill="D9EAF7"/>
          </w:tcPr>
          <w:p>
            <w:pPr>
              <w:jc w:val="left"/>
            </w:pPr>
            <w:r/>
            <w:r>
              <w:rPr>
                <w:b/>
                <w:sz w:val="16"/>
              </w:rPr>
              <w:t>AF/AC signal</w:t>
            </w:r>
          </w:p>
        </w:tc>
        <w:tc>
          <w:tcPr>
            <w:tcW w:type="dxa" w:w="1728"/>
            <w:vAlign w:val="top"/>
            <w:shd w:fill="D9EAF7"/>
          </w:tcPr>
          <w:p>
            <w:pPr>
              <w:jc w:val="left"/>
            </w:pPr>
            <w:r/>
            <w:r>
              <w:rPr>
                <w:b/>
                <w:sz w:val="16"/>
              </w:rPr>
              <w:t>Review support</w:t>
            </w:r>
          </w:p>
        </w:tc>
        <w:tc>
          <w:tcPr>
            <w:tcW w:type="dxa" w:w="1728"/>
            <w:vAlign w:val="top"/>
            <w:shd w:fill="D9EAF7"/>
          </w:tcPr>
          <w:p>
            <w:pPr>
              <w:jc w:val="left"/>
            </w:pPr>
            <w:r/>
            <w:r>
              <w:rPr>
                <w:b/>
                <w:sz w:val="16"/>
              </w:rPr>
              <w:t>VITAL</w:t>
            </w:r>
          </w:p>
        </w:tc>
        <w:tc>
          <w:tcPr>
            <w:tcW w:type="dxa" w:w="1728"/>
            <w:vAlign w:val="top"/>
            <w:shd w:fill="D9EAF7"/>
          </w:tcPr>
          <w:p>
            <w:pPr>
              <w:jc w:val="left"/>
            </w:pPr>
            <w:r/>
            <w:r>
              <w:rPr>
                <w:b/>
                <w:sz w:val="16"/>
              </w:rPr>
              <w:t>Confidence in red assignment</w:t>
            </w:r>
          </w:p>
        </w:tc>
        <w:tc>
          <w:tcPr>
            <w:tcW w:type="dxa" w:w="1728"/>
            <w:vAlign w:val="top"/>
            <w:shd w:fill="D9EAF7"/>
          </w:tcPr>
          <w:p>
            <w:pPr>
              <w:jc w:val="left"/>
            </w:pPr>
            <w:r/>
            <w:r>
              <w:rPr>
                <w:b/>
                <w:sz w:val="16"/>
              </w:rPr>
              <w:t>Misframed-biology mode</w:t>
            </w:r>
          </w:p>
        </w:tc>
      </w:tr>
      <w:tr>
        <w:tc>
          <w:tcPr>
            <w:tcW w:type="dxa" w:w="1728"/>
            <w:vAlign w:val="top"/>
          </w:tcPr>
          <w:p>
            <w:pPr>
              <w:jc w:val="left"/>
            </w:pPr>
            <w:r/>
            <w:r>
              <w:rPr>
                <w:b w:val="0"/>
                <w:sz w:val="16"/>
              </w:rPr>
              <w:t>SCN5A VCV000440850, c.[3919C&gt;T;694G&gt;A]</w:t>
            </w:r>
          </w:p>
        </w:tc>
        <w:tc>
          <w:tcPr>
            <w:tcW w:type="dxa" w:w="1728"/>
            <w:vAlign w:val="top"/>
          </w:tcPr>
          <w:p>
            <w:pPr>
              <w:jc w:val="left"/>
            </w:pPr>
            <w:r/>
            <w:r>
              <w:rPr>
                <w:b w:val="0"/>
                <w:sz w:val="16"/>
              </w:rPr>
              <w:t>AFR popmax AF=5.68e-3; AC=190</w:t>
            </w:r>
          </w:p>
        </w:tc>
        <w:tc>
          <w:tcPr>
            <w:tcW w:type="dxa" w:w="1728"/>
            <w:vAlign w:val="top"/>
          </w:tcPr>
          <w:p>
            <w:pPr>
              <w:jc w:val="left"/>
            </w:pPr>
            <w:r/>
            <w:r>
              <w:rPr>
                <w:b w:val="0"/>
                <w:sz w:val="16"/>
              </w:rPr>
              <w:t>No assertion criteria</w:t>
            </w:r>
          </w:p>
        </w:tc>
        <w:tc>
          <w:tcPr>
            <w:tcW w:type="dxa" w:w="1728"/>
            <w:vAlign w:val="top"/>
          </w:tcPr>
          <w:p>
            <w:pPr>
              <w:jc w:val="left"/>
            </w:pPr>
            <w:r/>
            <w:r>
              <w:rPr>
                <w:b w:val="0"/>
                <w:sz w:val="16"/>
              </w:rPr>
              <w:t>96.1</w:t>
            </w:r>
          </w:p>
        </w:tc>
        <w:tc>
          <w:tcPr>
            <w:tcW w:type="dxa" w:w="1728"/>
            <w:vAlign w:val="top"/>
          </w:tcPr>
          <w:p>
            <w:pPr>
              <w:jc w:val="left"/>
            </w:pPr>
            <w:r/>
            <w:r>
              <w:rPr>
                <w:b w:val="0"/>
                <w:sz w:val="16"/>
              </w:rPr>
              <w:t>High / anchor</w:t>
            </w:r>
          </w:p>
        </w:tc>
        <w:tc>
          <w:tcPr>
            <w:tcW w:type="dxa" w:w="1728"/>
            <w:vAlign w:val="top"/>
          </w:tcPr>
          <w:p>
            <w:pPr>
              <w:jc w:val="left"/>
            </w:pPr>
            <w:r/>
            <w:r>
              <w:rPr>
                <w:b w:val="0"/>
                <w:sz w:val="16"/>
              </w:rPr>
              <w:t>Susceptibility/haplotype inflated into Mendelian P/LP</w:t>
            </w:r>
          </w:p>
        </w:tc>
      </w:tr>
      <w:tr>
        <w:tc>
          <w:tcPr>
            <w:tcW w:type="dxa" w:w="1728"/>
            <w:vAlign w:val="top"/>
          </w:tcPr>
          <w:p>
            <w:pPr>
              <w:jc w:val="left"/>
            </w:pPr>
            <w:r/>
            <w:r>
              <w:rPr>
                <w:b w:val="0"/>
                <w:sz w:val="16"/>
              </w:rPr>
              <w:t>TRDN VCV001325231, c.1050del</w:t>
            </w:r>
          </w:p>
        </w:tc>
        <w:tc>
          <w:tcPr>
            <w:tcW w:type="dxa" w:w="1728"/>
            <w:vAlign w:val="top"/>
          </w:tcPr>
          <w:p>
            <w:pPr>
              <w:jc w:val="left"/>
            </w:pPr>
            <w:r/>
            <w:r>
              <w:rPr>
                <w:b w:val="0"/>
                <w:sz w:val="16"/>
              </w:rPr>
              <w:t>Global AC=40; AMR popmax AF=2.18e-4</w:t>
            </w:r>
          </w:p>
        </w:tc>
        <w:tc>
          <w:tcPr>
            <w:tcW w:type="dxa" w:w="1728"/>
            <w:vAlign w:val="top"/>
          </w:tcPr>
          <w:p>
            <w:pPr>
              <w:jc w:val="left"/>
            </w:pPr>
            <w:r/>
            <w:r>
              <w:rPr>
                <w:b w:val="0"/>
                <w:sz w:val="16"/>
              </w:rPr>
              <w:t>Single submitter</w:t>
            </w:r>
          </w:p>
        </w:tc>
        <w:tc>
          <w:tcPr>
            <w:tcW w:type="dxa" w:w="1728"/>
            <w:vAlign w:val="top"/>
          </w:tcPr>
          <w:p>
            <w:pPr>
              <w:jc w:val="left"/>
            </w:pPr>
            <w:r/>
            <w:r>
              <w:rPr>
                <w:b w:val="0"/>
                <w:sz w:val="16"/>
              </w:rPr>
              <w:t>74.3</w:t>
            </w:r>
          </w:p>
        </w:tc>
        <w:tc>
          <w:tcPr>
            <w:tcW w:type="dxa" w:w="1728"/>
            <w:vAlign w:val="top"/>
          </w:tcPr>
          <w:p>
            <w:pPr>
              <w:jc w:val="left"/>
            </w:pPr>
            <w:r/>
            <w:r>
              <w:rPr>
                <w:b w:val="0"/>
                <w:sz w:val="16"/>
              </w:rPr>
              <w:t>High for review; inheritance-routed</w:t>
            </w:r>
          </w:p>
        </w:tc>
        <w:tc>
          <w:tcPr>
            <w:tcW w:type="dxa" w:w="1728"/>
            <w:vAlign w:val="top"/>
          </w:tcPr>
          <w:p>
            <w:pPr>
              <w:jc w:val="left"/>
            </w:pPr>
            <w:r/>
            <w:r>
              <w:rPr>
                <w:b w:val="0"/>
                <w:sz w:val="16"/>
              </w:rPr>
              <w:t>Carrier architecture framed without affected-state context</w:t>
            </w:r>
          </w:p>
        </w:tc>
      </w:tr>
      <w:tr>
        <w:tc>
          <w:tcPr>
            <w:tcW w:type="dxa" w:w="1728"/>
            <w:vAlign w:val="top"/>
          </w:tcPr>
          <w:p>
            <w:pPr>
              <w:jc w:val="left"/>
            </w:pPr>
            <w:r/>
            <w:r>
              <w:rPr>
                <w:b w:val="0"/>
                <w:sz w:val="16"/>
              </w:rPr>
              <w:t>KCNH2 VCV004535537, c.2398+2T&gt;G</w:t>
            </w:r>
          </w:p>
        </w:tc>
        <w:tc>
          <w:tcPr>
            <w:tcW w:type="dxa" w:w="1728"/>
            <w:vAlign w:val="top"/>
          </w:tcPr>
          <w:p>
            <w:pPr>
              <w:jc w:val="left"/>
            </w:pPr>
            <w:r/>
            <w:r>
              <w:rPr>
                <w:b w:val="0"/>
                <w:sz w:val="16"/>
              </w:rPr>
              <w:t>Global AC=24; ASJ popmax AF=1.32e-4</w:t>
            </w:r>
          </w:p>
        </w:tc>
        <w:tc>
          <w:tcPr>
            <w:tcW w:type="dxa" w:w="1728"/>
            <w:vAlign w:val="top"/>
          </w:tcPr>
          <w:p>
            <w:pPr>
              <w:jc w:val="left"/>
            </w:pPr>
            <w:r/>
            <w:r>
              <w:rPr>
                <w:b w:val="0"/>
                <w:sz w:val="16"/>
              </w:rPr>
              <w:t>Single submitter</w:t>
            </w:r>
          </w:p>
        </w:tc>
        <w:tc>
          <w:tcPr>
            <w:tcW w:type="dxa" w:w="1728"/>
            <w:vAlign w:val="top"/>
          </w:tcPr>
          <w:p>
            <w:pPr>
              <w:jc w:val="left"/>
            </w:pPr>
            <w:r/>
            <w:r>
              <w:rPr>
                <w:b w:val="0"/>
                <w:sz w:val="16"/>
              </w:rPr>
              <w:t>70.3</w:t>
            </w:r>
          </w:p>
        </w:tc>
        <w:tc>
          <w:tcPr>
            <w:tcW w:type="dxa" w:w="1728"/>
            <w:vAlign w:val="top"/>
          </w:tcPr>
          <w:p>
            <w:pPr>
              <w:jc w:val="left"/>
            </w:pPr>
            <w:r/>
            <w:r>
              <w:rPr>
                <w:b w:val="0"/>
                <w:sz w:val="16"/>
              </w:rPr>
              <w:t>Conditional / borderline</w:t>
            </w:r>
          </w:p>
        </w:tc>
        <w:tc>
          <w:tcPr>
            <w:tcW w:type="dxa" w:w="1728"/>
            <w:vAlign w:val="top"/>
          </w:tcPr>
          <w:p>
            <w:pPr>
              <w:jc w:val="left"/>
            </w:pPr>
            <w:r/>
            <w:r>
              <w:rPr>
                <w:b w:val="0"/>
                <w:sz w:val="16"/>
              </w:rPr>
              <w:t>Borderline severe-annotation inflation under weak evidence</w:t>
            </w:r>
          </w:p>
        </w:tc>
      </w:tr>
    </w:tbl>
    <w:p/>
    <w:p>
      <w:r>
        <w:t>KCNH2 VCV004535537 is therefore best read as a conditional or amber-like priority: its inclusion reflects the need for expert inspection at the decision boundary, not the same stability of red assignment seen for SCN5A.</w:t>
      </w:r>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These records require state review rather than passive acceptance as generic P/LP.</w:t>
      </w:r>
    </w:p>
    <w:p>
      <w:pPr>
        <w:pStyle w:val="Heading2"/>
      </w:pPr>
      <w:r>
        <w:t>Logical incompatibility audit proves label-state insufficiency</w:t>
      </w:r>
    </w:p>
    <w:p>
      <w:r>
        <w:t>If the public P/LP label is interpreted as unqualified high-penetrance Mendelian pathogenicity, the label becomes logically incompatible with observed population reality unless the biological state is changed or qualified. This creates a triangle of contradiction: ClinVar asserts P/LP, gnomAD observes AC-supported frequency, and the disease mechanism requires a different state.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Public assertion</w:t>
            </w:r>
          </w:p>
        </w:tc>
        <w:tc>
          <w:tcPr>
            <w:tcW w:type="dxa" w:w="2074"/>
            <w:vAlign w:val="top"/>
            <w:shd w:fill="D9EAF7"/>
          </w:tcPr>
          <w:p>
            <w:pPr>
              <w:jc w:val="left"/>
            </w:pPr>
            <w:r/>
            <w:r>
              <w:rPr>
                <w:b/>
                <w:sz w:val="16"/>
              </w:rPr>
              <w:t>Population reality</w:t>
            </w:r>
          </w:p>
        </w:tc>
        <w:tc>
          <w:tcPr>
            <w:tcW w:type="dxa" w:w="2074"/>
            <w:vAlign w:val="top"/>
            <w:shd w:fill="D9EAF7"/>
          </w:tcPr>
          <w:p>
            <w:pPr>
              <w:jc w:val="left"/>
            </w:pPr>
            <w:r/>
            <w:r>
              <w:rPr>
                <w:b/>
                <w:sz w:val="16"/>
              </w:rPr>
              <w:t>If read as high-penetrance Mendelian</w:t>
            </w:r>
          </w:p>
        </w:tc>
        <w:tc>
          <w:tcPr>
            <w:tcW w:type="dxa" w:w="2074"/>
            <w:vAlign w:val="top"/>
            <w:shd w:fill="D9EAF7"/>
          </w:tcPr>
          <w:p>
            <w:pPr>
              <w:jc w:val="left"/>
            </w:pPr>
            <w:r/>
            <w:r>
              <w:rPr>
                <w:b/>
                <w:sz w:val="16"/>
              </w:rPr>
              <w:t>Required state for consistency</w:t>
            </w:r>
          </w:p>
        </w:tc>
      </w:tr>
      <w:tr>
        <w:tc>
          <w:tcPr>
            <w:tcW w:type="dxa" w:w="2074"/>
            <w:vAlign w:val="top"/>
          </w:tcPr>
          <w:p>
            <w:pPr>
              <w:jc w:val="left"/>
            </w:pPr>
            <w:r/>
            <w:r>
              <w:rPr>
                <w:b w:val="0"/>
                <w:sz w:val="16"/>
              </w:rPr>
              <w:t>SCN5A VCV000440850</w:t>
            </w:r>
          </w:p>
        </w:tc>
        <w:tc>
          <w:tcPr>
            <w:tcW w:type="dxa" w:w="2074"/>
            <w:vAlign w:val="top"/>
          </w:tcPr>
          <w:p>
            <w:pPr>
              <w:jc w:val="left"/>
            </w:pPr>
            <w:r/>
            <w:r>
              <w:rPr>
                <w:b w:val="0"/>
                <w:sz w:val="16"/>
              </w:rPr>
              <w:t>Pathogenic for Brugada syndrome 1; no assertion criteria</w:t>
            </w:r>
          </w:p>
        </w:tc>
        <w:tc>
          <w:tcPr>
            <w:tcW w:type="dxa" w:w="2074"/>
            <w:vAlign w:val="top"/>
          </w:tcPr>
          <w:p>
            <w:pPr>
              <w:jc w:val="left"/>
            </w:pPr>
            <w:r/>
            <w:r>
              <w:rPr>
                <w:b w:val="0"/>
                <w:sz w:val="16"/>
              </w:rPr>
              <w:t>AFR popmax AF=5.68e-3; popmax AC=190; global AC=214</w:t>
            </w:r>
          </w:p>
        </w:tc>
        <w:tc>
          <w:tcPr>
            <w:tcW w:type="dxa" w:w="2074"/>
            <w:vAlign w:val="top"/>
          </w:tcPr>
          <w:p>
            <w:pPr>
              <w:jc w:val="left"/>
            </w:pPr>
            <w:r/>
            <w:r>
              <w:rPr>
                <w:b w:val="0"/>
                <w:sz w:val="16"/>
              </w:rPr>
              <w:t>Logically incompatible: a variant with this population frequency cannot plausibly represent a high-penetrance monogenic arrhythmia allele</w:t>
            </w:r>
          </w:p>
        </w:tc>
        <w:tc>
          <w:tcPr>
            <w:tcW w:type="dxa" w:w="2074"/>
            <w:vAlign w:val="top"/>
          </w:tcPr>
          <w:p>
            <w:pPr>
              <w:jc w:val="left"/>
            </w:pPr>
            <w:r/>
            <w:r>
              <w:rPr>
                <w:b w:val="0"/>
                <w:sz w:val="16"/>
              </w:rPr>
              <w:t>Context-dependent susceptibility, haplotype, low-penetrance, or modifier state</w:t>
            </w:r>
          </w:p>
        </w:tc>
      </w:tr>
      <w:tr>
        <w:tc>
          <w:tcPr>
            <w:tcW w:type="dxa" w:w="2074"/>
            <w:vAlign w:val="top"/>
          </w:tcPr>
          <w:p>
            <w:pPr>
              <w:jc w:val="left"/>
            </w:pPr>
            <w:r/>
            <w:r>
              <w:rPr>
                <w:b w:val="0"/>
                <w:sz w:val="16"/>
              </w:rPr>
              <w:t>TRDN VCV001325231</w:t>
            </w:r>
          </w:p>
        </w:tc>
        <w:tc>
          <w:tcPr>
            <w:tcW w:type="dxa" w:w="2074"/>
            <w:vAlign w:val="top"/>
          </w:tcPr>
          <w:p>
            <w:pPr>
              <w:jc w:val="left"/>
            </w:pPr>
            <w:r/>
            <w:r>
              <w:rPr>
                <w:b w:val="0"/>
                <w:sz w:val="16"/>
              </w:rPr>
              <w:t>Likely pathogenic for CPVT5; single submitter</w:t>
            </w:r>
          </w:p>
        </w:tc>
        <w:tc>
          <w:tcPr>
            <w:tcW w:type="dxa" w:w="2074"/>
            <w:vAlign w:val="top"/>
          </w:tcPr>
          <w:p>
            <w:pPr>
              <w:jc w:val="left"/>
            </w:pPr>
            <w:r/>
            <w:r>
              <w:rPr>
                <w:b w:val="0"/>
                <w:sz w:val="16"/>
              </w:rPr>
              <w:t>AMR popmax AF=2.18e-4; global AC=40</w:t>
            </w:r>
          </w:p>
        </w:tc>
        <w:tc>
          <w:tcPr>
            <w:tcW w:type="dxa" w:w="2074"/>
            <w:vAlign w:val="top"/>
          </w:tcPr>
          <w:p>
            <w:pPr>
              <w:jc w:val="left"/>
            </w:pPr>
            <w:r/>
            <w:r>
              <w:rPr>
                <w:b w:val="0"/>
                <w:sz w:val="16"/>
              </w:rPr>
              <w:t>Dominant Mendelian reading is incompatible; the observation remains coherent only under carrier, phase-aware, or biallelic affected-state framing</w:t>
            </w:r>
          </w:p>
        </w:tc>
        <w:tc>
          <w:tcPr>
            <w:tcW w:type="dxa" w:w="2074"/>
            <w:vAlign w:val="top"/>
          </w:tcPr>
          <w:p>
            <w:pPr>
              <w:jc w:val="left"/>
            </w:pPr>
            <w:r/>
            <w:r>
              <w:rPr>
                <w:b w:val="0"/>
                <w:sz w:val="16"/>
              </w:rPr>
              <w:t>Carrier-compatible recessive or affected-state-specific assertion</w:t>
            </w:r>
          </w:p>
        </w:tc>
      </w:tr>
      <w:tr>
        <w:tc>
          <w:tcPr>
            <w:tcW w:type="dxa" w:w="2074"/>
            <w:vAlign w:val="top"/>
          </w:tcPr>
          <w:p>
            <w:pPr>
              <w:jc w:val="left"/>
            </w:pPr>
            <w:r/>
            <w:r>
              <w:rPr>
                <w:b w:val="0"/>
                <w:sz w:val="16"/>
              </w:rPr>
              <w:t>KCNH2 VCV004535537</w:t>
            </w:r>
          </w:p>
        </w:tc>
        <w:tc>
          <w:tcPr>
            <w:tcW w:type="dxa" w:w="2074"/>
            <w:vAlign w:val="top"/>
          </w:tcPr>
          <w:p>
            <w:pPr>
              <w:jc w:val="left"/>
            </w:pPr>
            <w:r/>
            <w:r>
              <w:rPr>
                <w:b w:val="0"/>
                <w:sz w:val="16"/>
              </w:rPr>
              <w:t>Likely pathogenic for Long QT syndrome; single submitter</w:t>
            </w:r>
          </w:p>
        </w:tc>
        <w:tc>
          <w:tcPr>
            <w:tcW w:type="dxa" w:w="2074"/>
            <w:vAlign w:val="top"/>
          </w:tcPr>
          <w:p>
            <w:pPr>
              <w:jc w:val="left"/>
            </w:pPr>
            <w:r/>
            <w:r>
              <w:rPr>
                <w:b w:val="0"/>
                <w:sz w:val="16"/>
              </w:rPr>
              <w:t>ASJ popmax AF=1.32e-4; global AC=24</w:t>
            </w:r>
          </w:p>
        </w:tc>
        <w:tc>
          <w:tcPr>
            <w:tcW w:type="dxa" w:w="2074"/>
            <w:vAlign w:val="top"/>
          </w:tcPr>
          <w:p>
            <w:pPr>
              <w:jc w:val="left"/>
            </w:pPr>
            <w:r/>
            <w:r>
              <w:rPr>
                <w:b w:val="0"/>
                <w:sz w:val="16"/>
              </w:rPr>
              <w:t>Unqualified high-penetrance reading is not supportable from public data alone; frequency tension plus weak review defines a boundary case</w:t>
            </w:r>
          </w:p>
        </w:tc>
        <w:tc>
          <w:tcPr>
            <w:tcW w:type="dxa" w:w="2074"/>
            <w:vAlign w:val="top"/>
          </w:tcPr>
          <w:p>
            <w:pPr>
              <w:jc w:val="left"/>
            </w:pPr>
            <w:r/>
            <w:r>
              <w:rPr>
                <w:b w:val="0"/>
                <w:sz w:val="16"/>
              </w:rPr>
              <w:t>Annotation-inflation or mechanism-qualified review state</w:t>
            </w:r>
          </w:p>
        </w:tc>
      </w:tr>
    </w:tbl>
    <w:p/>
    <w:p>
      <w:r>
        <w:t>Current ClinVar labeling collapses biologically distinct states into a single P/LP category: susceptibility is not Mendelian pathogenicity, carrier architecture is not dominant disease, and severe annotation is not proof of high penetrance. VITAL makes this state-coding failure visible by prioritizing the variants where population reality and unqualified Mendelian interpretation cannot coexist.</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r>
        <w:t>Supplementary Table S32 operationalizes this ontology with a trigger, required evidence, and output format for each state class. For example, a susceptibility transition requires AC-supported AF incompatibility plus context supporting modifier or haplotype biology, and the output should be a risk-allele or context-qualified assertion rather than generic monogenic P/LP. Supplementary Table S37 makes detectability assessment a required field set for gray-to-actionable routing, including exome presence, genome presence, coverage sufficiency, mapping-quality concern, representation ambiguity, and a final detectability-complete flag. This preserves a separate no-frequency-evidence state rather than silently converting missingness into rarity.</w:t>
      </w:r>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some public P/LP labels permit mutually incompatible interpretations: they can be read as high-penetrance Mendelian assertions even when population frequency and mechanism require susceptibility, carrier-state, low-penetrance, or annotation-inflation framing. Severe annotation does not resolve this contradiction. Up to 35.1% of AF-observed LOF/splice ClinVar P/LP arrhythmia assertions showed ancestry-aware frequency discordance, showing that severe-looking labels remain vulnerable to state collapse.</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This means the system has two separable gaps: hidden ancestry-aware frequency tension among evaluable variants, and representation-driven non-evaluability among the majority. Absence from gnomAD therefore cannot be treated uniformly as rarity.</w:t>
      </w:r>
    </w:p>
    <w:p>
      <w:r>
        <w:t>VITAL's role is detection, not the central biological claim. It transforms 115 naive AF alerts into 3 urgent state-review cases while preserving gray no-frequency-evidence states and component-level explanations. The important result is that these 3 cases expose a real label-state collapse: the same public P/LP category can encode susceptibility, carrier architecture, annotation inflation, or high-penetrance Mendelian disease without making that distinction visible to downstream users.</w:t>
      </w:r>
    </w:p>
    <w:p>
      <w:r>
        <w:t>The three red-priority arrhythmia cases provide the central logical result. For each case, the public P/LP label, observed population frequency, and plausible disease mechanism cannot all support an unqualified high-penetrance Mendelian reading simultaneously.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This incompatibility is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loss of biological state during clinical transmission.</w:t>
      </w:r>
    </w:p>
    <w:p>
      <w:r>
        <w:t>De novo occurrence is conventionally treated as strong support for pathogenicity because it raises the prior probability for a causal event in an individual proband. In arrhythmia genes with incomplete penetrance and context-dependent expressivity, however, de novo status does not resolve frequency-assertion tension at the label level. SCN5A VCV000440850 remains problematic even if observed as de novo in an individual case: an AFR popmax AF of 5.68e-3 is incompatible with a high-penetrance Mendelian Brugada assertion as a class. De novo evidence changes the case-level prior, but it does not erase the population-level contradiction or specify whether the public P/LP label represents Mendelian disease, low-penetrance susceptibility, or a context-dependent modifier. De novo evidence strengthens the case for expert review; it does not substitute for state-aware interpretation.</w:t>
      </w:r>
    </w:p>
    <w:p>
      <w:r>
        <w:t>The clinical consequence is structural.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converts this hidden label exposure into an auditable state-review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the analysis is intentionally restricted to inherited arrhythmia genes, where clinical consequence, penetrance architecture, and population structure create the conditions most favourable for detecting frequency-assertion tension. Generalizability to other disease domains requires domain-specific calibration and is not assumed.</w:t>
      </w:r>
    </w:p>
    <w:p>
      <w:r>
        <w:t>Third, historical validation is sparse. VITAL-red captured 1/23 strict future P/LP-to-VUS/B/LB events in the 3,000-variant audit, confirming that it is not a sensitive predictor of all future reclassification. Its intended endpoint is high-specificity frequency-assertion prioritization. Independent validation against larger ClinGen, LOVD, or expert-panel downgrade sets remains a first-order limitation.</w:t>
      </w:r>
    </w:p>
    <w:p>
      <w:r>
        <w:t>Fourth, the score and ontology do not directly model penetrance, phase, zygosity, inheritance, phenotype specificity, segregation, MAVE/functional data, transcript rescue, NMD, or private laboratory evidence. These remain expert review tasks.</w:t>
      </w:r>
    </w:p>
    <w:p>
      <w:r>
        <w:t>Fifth,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Sixth, the internal consistency audit uses proxy labels and is partly circular because weak review and AC-supported frequency evidence help define both the operational positives and the red gate. These metrics should be read as burden diagnostics, not diagnostic accuracy. To address this directly, we pre-specified a blinded expert pilot with an external endpoint of "requires re-review" versus "does not require re-review"; however, that consensus review is not yet complete, so no independent sensitivity, specificity, PPV, or kappa claims are made from it in the present manuscript.</w:t>
      </w:r>
    </w:p>
    <w:p>
      <w:r>
        <w:t>Seventh,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logical incompatibility audit outputs, frequency-evaluability gap outputs, operational label-state transition outputs, non-evaluable routing outputs, temporal robustness outputs, clinical decision-risk proxy outputs, blinded expert-pilot forms and keys, AC reliability strata, detectability-required fields, contextual overlay modules,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