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PROPOSAL</w:t>
      </w:r>
    </w:p>
    <w:p>
      <w:pPr>
        <w:spacing w:after="720"/>
        <w:jc w:val="center"/>
      </w:pPr>
      <w:r>
        <w:rPr>
          <w:color w:val="666666"/>
          <w:sz w:val="32"/>
          <w:szCs w:val="32"/>
        </w:rPr>
        <w:t xml:space="preserve">Matrix Telecom Security &amp; Telecom Solutions</w:t>
      </w:r>
    </w:p>
    <w:p>
      <w:pPr>
        <w:spacing w:after="120" w:before="1440"/>
        <w:jc w:val="center"/>
      </w:pPr>
      <w:r>
        <w:rPr>
          <w:b/>
          <w:bCs/>
          <w:sz w:val="24"/>
          <w:szCs w:val="24"/>
        </w:rPr>
        <w:t xml:space="preserve">Prepared for:</w:t>
      </w:r>
    </w:p>
    <w:p>
      <w:pPr>
        <w:jc w:val="center"/>
      </w:pPr>
      <w:r>
        <w:rPr>
          <w:b/>
          <w:bCs/>
          <w:color w:val="2E75B6"/>
          <w:sz w:val="28"/>
          <w:szCs w:val="28"/>
        </w:rPr>
        <w:t xml:space="preserve">Aether Corp.</w:t>
      </w:r>
    </w:p>
    <w:p>
      <w:pPr>
        <w:spacing w:before="240"/>
        <w:jc w:val="center"/>
      </w:pPr>
      <w:r>
        <w:rPr>
          <w:color w:val="666666"/>
          <w:sz w:val="20"/>
          <w:szCs w:val="20"/>
        </w:rPr>
        <w:t xml:space="preserve">May 1, 2026</w:t>
      </w:r>
    </w:p>
    <w:p>
      <w:r>
        <w:br w:type="page"/>
      </w:r>
    </w:p>
    <w:p>
      <w:pPr>
        <w:pStyle w:val="Heading1"/>
      </w:pPr>
      <w:r>
        <w:t xml:space="preserve">Executive Summary</w:t>
      </w:r>
    </w:p>
    <w:p>
      <w:pPr>
        <w:spacing w:after="240"/>
      </w:pPr>
      <w:r>
        <w:rPr>
          <w:b w:val="false"/>
          <w:bCs w:val="false"/>
        </w:rPr>
        <w:t xml:space="preserve">This proposal outlines a comprehensive access control solution for Aether Corp., leveraging the COSEC ecosystem from Matrix Comsec. We address the need for enhanced security, biometric authentication, and seamless integration with existing security infrastructure. Our solution provides a layered security approach, combining facial recognition, multi-factor authentication, and centralized management, all while offering scalability for future growth. The total investment for this solution is $135,696.00.</w:t>
      </w:r>
    </w:p>
    <w:p>
      <w:pPr>
        <w:pStyle w:val="Heading1"/>
      </w:pPr>
      <w:r>
        <w:t xml:space="preserve">Understanding Your Needs</w:t>
      </w:r>
    </w:p>
    <w:p>
      <w:pPr>
        <w:spacing w:after="240"/>
      </w:pPr>
      <w:r>
        <w:rPr>
          <w:b w:val="false"/>
          <w:bCs w:val="false"/>
        </w:rPr>
        <w:t xml:space="preserve">Aether Corp. operates in a highly sensitive environment requiring robust security measures to protect valuable assets and data.  We understand the need for a system that provides:</w:t>
      </w:r>
    </w:p>
    <w:p>
      <w:pPr>
        <w:pStyle w:val="ListParagraph"/>
        <w:numPr>
          <w:ilvl w:val="0"/>
          <w:numId w:val="2"/>
        </w:numPr>
        <w:spacing w:after="120"/>
      </w:pPr>
      <w:r>
        <w:rPr>
          <w:b w:val="false"/>
          <w:bCs w:val="false"/>
        </w:rPr>
        <w:t xml:space="preserve">  </w:t>
      </w:r>
      <w:r>
        <w:rPr>
          <w:b/>
          <w:bCs/>
        </w:rPr>
        <w:t xml:space="preserve">High Security:</w:t>
      </w:r>
      <w:r>
        <w:rPr>
          <w:b w:val="false"/>
          <w:bCs w:val="false"/>
        </w:rPr>
        <w:t xml:space="preserve"> Protecting sensitive IT infrastructure and data centers.</w:t>
      </w:r>
    </w:p>
    <w:p>
      <w:pPr>
        <w:pStyle w:val="ListParagraph"/>
        <w:numPr>
          <w:ilvl w:val="0"/>
          <w:numId w:val="2"/>
        </w:numPr>
        <w:spacing w:after="120"/>
      </w:pPr>
      <w:r>
        <w:rPr>
          <w:b w:val="false"/>
          <w:bCs w:val="false"/>
        </w:rPr>
        <w:t xml:space="preserve">  </w:t>
      </w:r>
      <w:r>
        <w:rPr>
          <w:b/>
          <w:bCs/>
        </w:rPr>
        <w:t xml:space="preserve">Biometric Authentication:</w:t>
      </w:r>
      <w:r>
        <w:rPr>
          <w:b w:val="false"/>
          <w:bCs w:val="false"/>
        </w:rPr>
        <w:t xml:space="preserve"> Implementing touchless and secure access control.</w:t>
      </w:r>
    </w:p>
    <w:p>
      <w:pPr>
        <w:pStyle w:val="ListParagraph"/>
        <w:numPr>
          <w:ilvl w:val="0"/>
          <w:numId w:val="2"/>
        </w:numPr>
        <w:spacing w:after="120"/>
      </w:pPr>
      <w:r>
        <w:rPr>
          <w:b w:val="false"/>
          <w:bCs w:val="false"/>
        </w:rPr>
        <w:t xml:space="preserve">  </w:t>
      </w:r>
      <w:r>
        <w:rPr>
          <w:b/>
          <w:bCs/>
        </w:rPr>
        <w:t xml:space="preserve">Multi-Factor Authentication:</w:t>
      </w:r>
      <w:r>
        <w:rPr>
          <w:b w:val="false"/>
          <w:bCs w:val="false"/>
        </w:rPr>
        <w:t xml:space="preserve">  Adding layers of security for critical areas.</w:t>
      </w:r>
    </w:p>
    <w:p>
      <w:pPr>
        <w:pStyle w:val="ListParagraph"/>
        <w:numPr>
          <w:ilvl w:val="0"/>
          <w:numId w:val="2"/>
        </w:numPr>
        <w:spacing w:after="120"/>
      </w:pPr>
      <w:r>
        <w:rPr>
          <w:b w:val="false"/>
          <w:bCs w:val="false"/>
        </w:rPr>
        <w:t xml:space="preserve">  </w:t>
      </w:r>
      <w:r>
        <w:rPr>
          <w:b/>
          <w:bCs/>
        </w:rPr>
        <w:t xml:space="preserve">Centralized Management:</w:t>
      </w:r>
      <w:r>
        <w:rPr>
          <w:b w:val="false"/>
          <w:bCs w:val="false"/>
        </w:rPr>
        <w:t xml:space="preserve">  Streamlining administration and monitoring of access control.</w:t>
      </w:r>
    </w:p>
    <w:p>
      <w:pPr>
        <w:pStyle w:val="ListParagraph"/>
        <w:numPr>
          <w:ilvl w:val="0"/>
          <w:numId w:val="2"/>
        </w:numPr>
        <w:spacing w:after="120"/>
      </w:pPr>
      <w:r>
        <w:rPr>
          <w:b w:val="false"/>
          <w:bCs w:val="false"/>
        </w:rPr>
        <w:t xml:space="preserve">  </w:t>
      </w:r>
      <w:r>
        <w:rPr>
          <w:b/>
          <w:bCs/>
        </w:rPr>
        <w:t xml:space="preserve">Scalability:</w:t>
      </w:r>
      <w:r>
        <w:rPr>
          <w:b w:val="false"/>
          <w:bCs w:val="false"/>
        </w:rPr>
        <w:t xml:space="preserve">  Accommodating future growth and evolving security needs.</w:t>
      </w:r>
    </w:p>
    <w:p>
      <w:pPr>
        <w:pStyle w:val="ListParagraph"/>
        <w:numPr>
          <w:ilvl w:val="0"/>
          <w:numId w:val="2"/>
        </w:numPr>
        <w:spacing w:after="120"/>
      </w:pPr>
      <w:r>
        <w:rPr>
          <w:b w:val="false"/>
          <w:bCs w:val="false"/>
        </w:rPr>
        <w:t xml:space="preserve">  </w:t>
      </w:r>
      <w:r>
        <w:rPr>
          <w:b/>
          <w:bCs/>
        </w:rPr>
        <w:t xml:space="preserve">Integration:</w:t>
      </w:r>
      <w:r>
        <w:rPr>
          <w:b w:val="false"/>
          <w:bCs w:val="false"/>
        </w:rPr>
        <w:t xml:space="preserve"> Seamlessly integrating with existing Aether Corp. security systems via API.</w:t>
      </w:r>
    </w:p>
    <w:p>
      <w:pPr>
        <w:pStyle w:val="ListParagraph"/>
        <w:numPr>
          <w:ilvl w:val="0"/>
          <w:numId w:val="2"/>
        </w:numPr>
        <w:spacing w:after="120"/>
      </w:pPr>
      <w:r>
        <w:rPr>
          <w:b w:val="false"/>
          <w:bCs w:val="false"/>
        </w:rPr>
        <w:t xml:space="preserve">  </w:t>
      </w:r>
      <w:r>
        <w:rPr>
          <w:b/>
          <w:bCs/>
        </w:rPr>
        <w:t xml:space="preserve">Reliability &amp; Durability:</w:t>
      </w:r>
      <w:r>
        <w:rPr>
          <w:b w:val="false"/>
          <w:bCs w:val="false"/>
        </w:rPr>
        <w:t xml:space="preserve">  Ensuring consistent operation in various environmental conditions.</w:t>
      </w:r>
    </w:p>
    <w:p>
      <w:pPr>
        <w:pStyle w:val="Heading1"/>
      </w:pPr>
      <w:r>
        <w:t xml:space="preserve">Proposed Solution</w:t>
      </w:r>
    </w:p>
    <w:p>
      <w:pPr>
        <w:spacing w:after="240"/>
      </w:pPr>
      <w:r>
        <w:rPr>
          <w:b w:val="false"/>
          <w:bCs w:val="false"/>
        </w:rPr>
        <w:t xml:space="preserve">Our proposed solution utilizes the COSEC access control system to deliver a robust and scalable security infrastructure. The system will be deployed in a layered approach, utilizing different reader types based on the security requirements of each access point.  The COSEC CENTRA platform will serve as the central management hub, providing real-time monitoring, reporting, and integration capabilities.  Network segmentation via VLANs on the SATATYA switch will further enhance security by isolating access control traffic.  The solution is designed for ease of administration and future expansion, allowing Aether Corp. to adapt to changing security needs.  Specifically, we propose a system that leverages facial recognition for convenient access, multi-factor authentication for high-security zones, and centralized control for efficient management.</w:t>
      </w:r>
    </w:p>
    <w:p>
      <w:pPr>
        <w:pStyle w:val="Heading1"/>
      </w:pPr>
      <w:r>
        <w:t xml:space="preserve">Product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Quantity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Unit Price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t xml:space="preserve">COSEC ARGO FACE210E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₹19,000.00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₹57,000.00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COSEC ATOM RD300SFE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₹11,000.00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₹33,000.00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t xml:space="preserve">COSEC ARC DC200P</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₹9,000.00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₹9,000.00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COSEC CENTRA PLATFORM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₹500.00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₹500.00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t xml:space="preserve">COSEC ATOM RD100E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2</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₹7,600.00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SATATYA MIDR50FL28CWP P2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₹5,980.00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₹5,980.00</w:t>
            </w:r>
          </w:p>
        </w:tc>
      </w:tr>
    </w:tbl>
    <w:p>
      <w:pPr>
        <w:spacing w:after="480"/>
      </w:pPr>
    </w:p>
    <w:p>
      <w:pPr>
        <w:pStyle w:val="Heading1"/>
      </w:pPr>
      <w:r>
        <w:t xml:space="preserve">Implementation Plan</w:t>
      </w:r>
    </w:p>
    <w:p>
      <w:pPr>
        <w:spacing w:after="240"/>
      </w:pPr>
      <w:r>
        <w:rPr>
          <w:b w:val="false"/>
          <w:bCs w:val="false"/>
        </w:rPr>
        <w:t xml:space="preserve">Our implementation plan consists of the following phases:</w:t>
      </w:r>
    </w:p>
    <w:p>
      <w:pPr>
        <w:pStyle w:val="ListParagraph"/>
        <w:numPr>
          <w:ilvl w:val="0"/>
          <w:numId w:val="2"/>
        </w:numPr>
        <w:spacing w:after="120"/>
      </w:pPr>
      <w:r>
        <w:rPr>
          <w:b w:val="false"/>
          <w:bCs w:val="false"/>
        </w:rPr>
        <w:t xml:space="preserve">  </w:t>
      </w:r>
      <w:r>
        <w:rPr>
          <w:b/>
          <w:bCs/>
        </w:rPr>
        <w:t xml:space="preserve">Phase 1: Site Survey &amp; Design (1 Week):</w:t>
      </w:r>
      <w:r>
        <w:rPr>
          <w:b w:val="false"/>
          <w:bCs w:val="false"/>
        </w:rPr>
        <w:t xml:space="preserve">  A detailed site survey will be conducted to assess existing infrastructure and finalize the system design.  This includes identifying optimal reader locations and network configurations.</w:t>
      </w:r>
    </w:p>
    <w:p>
      <w:pPr>
        <w:pStyle w:val="ListParagraph"/>
        <w:numPr>
          <w:ilvl w:val="0"/>
          <w:numId w:val="2"/>
        </w:numPr>
        <w:spacing w:after="120"/>
      </w:pPr>
      <w:r>
        <w:rPr>
          <w:b w:val="false"/>
          <w:bCs w:val="false"/>
        </w:rPr>
        <w:t xml:space="preserve">  </w:t>
      </w:r>
      <w:r>
        <w:rPr>
          <w:b/>
          <w:bCs/>
        </w:rPr>
        <w:t xml:space="preserve">Phase 2: System Installation (2 Weeks):</w:t>
      </w:r>
      <w:r>
        <w:rPr>
          <w:b w:val="false"/>
          <w:bCs w:val="false"/>
        </w:rPr>
        <w:t xml:space="preserve">  Installation of all hardware components (readers, controller, switch) and network configuration.</w:t>
      </w:r>
    </w:p>
    <w:p>
      <w:pPr>
        <w:pStyle w:val="ListParagraph"/>
        <w:numPr>
          <w:ilvl w:val="0"/>
          <w:numId w:val="2"/>
        </w:numPr>
        <w:spacing w:after="120"/>
      </w:pPr>
      <w:r>
        <w:rPr>
          <w:b w:val="false"/>
          <w:bCs w:val="false"/>
        </w:rPr>
        <w:t xml:space="preserve">  </w:t>
      </w:r>
      <w:r>
        <w:rPr>
          <w:b/>
          <w:bCs/>
        </w:rPr>
        <w:t xml:space="preserve">Phase 3: Software Configuration &amp; Integration (2 Weeks):</w:t>
      </w:r>
      <w:r>
        <w:rPr>
          <w:b w:val="false"/>
          <w:bCs w:val="false"/>
        </w:rPr>
        <w:t xml:space="preserve">  Configuration of the CENTRA platform, user credential creation, and integration with existing Aether Corp. security systems via API.  Thorough testing of the integration will be performed.</w:t>
      </w:r>
    </w:p>
    <w:p>
      <w:pPr>
        <w:pStyle w:val="ListParagraph"/>
        <w:numPr>
          <w:ilvl w:val="0"/>
          <w:numId w:val="2"/>
        </w:numPr>
        <w:spacing w:after="120"/>
      </w:pPr>
      <w:r>
        <w:rPr>
          <w:b w:val="false"/>
          <w:bCs w:val="false"/>
        </w:rPr>
        <w:t xml:space="preserve">  </w:t>
      </w:r>
      <w:r>
        <w:rPr>
          <w:b/>
          <w:bCs/>
        </w:rPr>
        <w:t xml:space="preserve">Phase 4: User Training (1 Week):</w:t>
      </w:r>
      <w:r>
        <w:rPr>
          <w:b w:val="false"/>
          <w:bCs w:val="false"/>
        </w:rPr>
        <w:t xml:space="preserve">  Comprehensive training for Aether Corp. security personnel on system operation, administration, and troubleshooting.</w:t>
      </w:r>
    </w:p>
    <w:p>
      <w:pPr>
        <w:pStyle w:val="ListParagraph"/>
        <w:numPr>
          <w:ilvl w:val="0"/>
          <w:numId w:val="2"/>
        </w:numPr>
        <w:spacing w:after="120"/>
      </w:pPr>
      <w:r>
        <w:rPr>
          <w:b w:val="false"/>
          <w:bCs w:val="false"/>
        </w:rPr>
        <w:t xml:space="preserve">  </w:t>
      </w:r>
      <w:r>
        <w:rPr>
          <w:b/>
          <w:bCs/>
        </w:rPr>
        <w:t xml:space="preserve">Phase 5: Ongoing Support &amp; Maintenance:</w:t>
      </w:r>
      <w:r>
        <w:rPr>
          <w:b w:val="false"/>
          <w:bCs w:val="false"/>
        </w:rPr>
        <w:t xml:space="preserve">  We will provide ongoing technical support and maintenance services to ensure the system operates optimally.  This includes software updates, remote diagnostics, and on-site support as needed.</w:t>
      </w:r>
    </w:p>
    <w:p>
      <w:pPr>
        <w:spacing w:after="240"/>
      </w:pPr>
      <w:r>
        <w:rPr>
          <w:b w:val="false"/>
          <w:bCs w:val="false"/>
        </w:rPr>
        <w:t xml:space="preserve">Throughout the implementation process, we will maintain clear communication with Aether Corp. stakeholders and adhere to all relevant security protocols.</w:t>
      </w:r>
    </w:p>
    <w:p>
      <w:pPr>
        <w:pStyle w:val="Heading1"/>
      </w:pPr>
      <w:r>
        <w:t xml:space="preserve">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Products &amp; Equipment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₹113,080.00</w:t>
            </w:r>
          </w:p>
        </w:tc>
      </w:tr>
      <w:tr>
        <w:tc>
          <w:tcPr>
            <w:tcW w:type="dxa" w:w="65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rPr>
              <w:t xml:space="preserve">Installation &amp; Configuration</w:t>
            </w:r>
          </w:p>
        </w:tc>
        <w:tc>
          <w:tcPr>
            <w:tcW w:type="dxa" w:w="28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₹22,616.00</w:t>
            </w:r>
          </w:p>
        </w:tc>
      </w:tr>
      <w:tr>
        <w:tc>
          <w:tcPr>
            <w:tcW w:type="dxa" w:w="655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6"/>
                <w:szCs w:val="26"/>
              </w:rPr>
              <w:t xml:space="preserve">TOTAL INVESTMENT</w:t>
            </w:r>
          </w:p>
        </w:tc>
        <w:tc>
          <w:tcPr>
            <w:tcW w:type="dxa" w:w="2808"/>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right"/>
            </w:pPr>
            <w:r>
              <w:rPr>
                <w:b/>
                <w:bCs/>
                <w:sz w:val="26"/>
                <w:szCs w:val="26"/>
              </w:rPr>
              <w:t xml:space="preserve">₹135,696.00</w:t>
            </w:r>
          </w:p>
        </w:tc>
      </w:tr>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Maintenance (Premium SLA)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₹16,962.00/year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2026-05-01T05:14:19.912Z</dcterms:created>
  <dcterms:modified xsi:type="dcterms:W3CDTF">2026-05-01T05:14:19.912Z</dcterms:modified>
</cp:coreProperties>
</file>

<file path=docProps/custom.xml><?xml version="1.0" encoding="utf-8"?>
<Properties xmlns="http://schemas.openxmlformats.org/officeDocument/2006/custom-properties" xmlns:vt="http://schemas.openxmlformats.org/officeDocument/2006/docPropsVTypes"/>
</file>