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CATALYX Executive Strategy 2026</w:t>
      </w:r>
    </w:p>
    <w:p>
      <w:r>
        <w:rPr>
          <w:b/>
          <w:sz w:val="32"/>
        </w:rPr>
        <w:t>Executive Summary</w:t>
      </w:r>
    </w:p>
    <w:p>
      <w:r>
        <w:t>CATALYX represents a sovereign enterprise operating system for autonomous workflows, human-in-the-loop governance, and verifiable economic ledger execution.</w:t>
      </w:r>
    </w:p>
    <w:p>
      <w:r>
        <w:t>Built with real-time financial auditing and strict tenant boundary isolation.</w:t>
      </w:r>
    </w:p>
    <w:p>
      <w:r>
        <w:rPr>
          <w:b/>
          <w:sz w:val="32"/>
        </w:rPr>
        <w:t>Core Architecture Pillars</w:t>
      </w:r>
    </w:p>
    <w:p>
      <w:r>
        <w:t>1. Dual-entry ledger accounting strictly denominated in integer minor units (cents).</w:t>
      </w:r>
    </w:p>
    <w:p>
      <w:r>
        <w:t>2. Authoritative monthly billing: Individual ($10/mo), Group ($13/mo), Organization ($25/mo) with 30-day trial.</w:t>
      </w:r>
    </w:p>
    <w:p>
      <w:r>
        <w:t>3. 12 Universal Creation Studios supporting native OpenXML handoffs and production export pipelines.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>
</Relationships>
</file>