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usiness-model-canvas-teachercloud"/>
    <w:p>
      <w:pPr>
        <w:pStyle w:val="Heading1"/>
      </w:pPr>
      <w:r>
        <w:t xml:space="preserve">Business Model Canvas – TeacherCloud</w:t>
      </w:r>
    </w:p>
    <w:bookmarkStart w:id="20" w:name="wertangebote-value-proposition"/>
    <w:p>
      <w:pPr>
        <w:pStyle w:val="Heading2"/>
      </w:pPr>
      <w:r>
        <w:t xml:space="preserve">1. Wertangebote (Value Proposition)</w:t>
      </w:r>
    </w:p>
    <w:p>
      <w:pPr>
        <w:pStyle w:val="Compact"/>
        <w:numPr>
          <w:ilvl w:val="0"/>
          <w:numId w:val="1001"/>
        </w:numPr>
      </w:pPr>
      <w:r>
        <w:t xml:space="preserve">Zentrale, intelligente Plattform zur Organisation von Unterrichtsmaterialien</w:t>
      </w:r>
    </w:p>
    <w:p>
      <w:pPr>
        <w:pStyle w:val="Compact"/>
        <w:numPr>
          <w:ilvl w:val="0"/>
          <w:numId w:val="1001"/>
        </w:numPr>
      </w:pPr>
      <w:r>
        <w:t xml:space="preserve">KI-gestützte automatische Verschlagwortung, Suche und Klassifikation</w:t>
      </w:r>
    </w:p>
    <w:p>
      <w:pPr>
        <w:pStyle w:val="Compact"/>
        <w:numPr>
          <w:ilvl w:val="0"/>
          <w:numId w:val="1001"/>
        </w:numPr>
      </w:pPr>
      <w:r>
        <w:t xml:space="preserve">Einheitliche Struktur für Dateien aus verschiedenen Quellen (PDF, Word, Videos, Scans)</w:t>
      </w:r>
    </w:p>
    <w:p>
      <w:pPr>
        <w:pStyle w:val="Compact"/>
        <w:numPr>
          <w:ilvl w:val="0"/>
          <w:numId w:val="1001"/>
        </w:numPr>
      </w:pPr>
      <w:r>
        <w:t xml:space="preserve">Dashboard für schnelle Übersicht und Analyse</w:t>
      </w:r>
    </w:p>
    <w:p>
      <w:pPr>
        <w:pStyle w:val="Compact"/>
        <w:numPr>
          <w:ilvl w:val="0"/>
          <w:numId w:val="1001"/>
        </w:numPr>
      </w:pPr>
      <w:r>
        <w:t xml:space="preserve">Lehrkraft-spezifische Empfehlungen und Materialideen</w:t>
      </w:r>
    </w:p>
    <w:p>
      <w:pPr>
        <w:pStyle w:val="Compact"/>
        <w:numPr>
          <w:ilvl w:val="0"/>
          <w:numId w:val="1001"/>
        </w:numPr>
      </w:pPr>
      <w:r>
        <w:t xml:space="preserve">Sicher, datenschutzkonform, selbst gehostet (z. B. über Nextcloud / Hetzner)</w:t>
      </w:r>
    </w:p>
    <w:bookmarkEnd w:id="20"/>
    <w:bookmarkStart w:id="21" w:name="kundensegmente-customer-segments"/>
    <w:p>
      <w:pPr>
        <w:pStyle w:val="Heading2"/>
      </w:pPr>
      <w:r>
        <w:t xml:space="preserve">2. Kundensegmente (Customer Segments)</w:t>
      </w:r>
    </w:p>
    <w:p>
      <w:pPr>
        <w:pStyle w:val="Compact"/>
        <w:numPr>
          <w:ilvl w:val="0"/>
          <w:numId w:val="1002"/>
        </w:numPr>
      </w:pPr>
      <w:r>
        <w:t xml:space="preserve">Lehrkräfte aller Schulformen</w:t>
      </w:r>
    </w:p>
    <w:p>
      <w:pPr>
        <w:pStyle w:val="Compact"/>
        <w:numPr>
          <w:ilvl w:val="0"/>
          <w:numId w:val="1002"/>
        </w:numPr>
      </w:pPr>
      <w:r>
        <w:t xml:space="preserve">Schulen und Bildungseinrichtungen</w:t>
      </w:r>
    </w:p>
    <w:p>
      <w:pPr>
        <w:pStyle w:val="Compact"/>
        <w:numPr>
          <w:ilvl w:val="0"/>
          <w:numId w:val="1002"/>
        </w:numPr>
      </w:pPr>
      <w:r>
        <w:t xml:space="preserve">Selbstständige Trainer:innen und Coaches</w:t>
      </w:r>
    </w:p>
    <w:p>
      <w:pPr>
        <w:pStyle w:val="Compact"/>
        <w:numPr>
          <w:ilvl w:val="0"/>
          <w:numId w:val="1002"/>
        </w:numPr>
      </w:pPr>
      <w:r>
        <w:t xml:space="preserve">Bildungstechnologie-Anbieter (EdTech)</w:t>
      </w:r>
    </w:p>
    <w:bookmarkEnd w:id="21"/>
    <w:bookmarkStart w:id="22" w:name="kanäle-channels"/>
    <w:p>
      <w:pPr>
        <w:pStyle w:val="Heading2"/>
      </w:pPr>
      <w:r>
        <w:t xml:space="preserve">3. Kanäle (Channels)</w:t>
      </w:r>
    </w:p>
    <w:p>
      <w:pPr>
        <w:pStyle w:val="Compact"/>
        <w:numPr>
          <w:ilvl w:val="0"/>
          <w:numId w:val="1003"/>
        </w:numPr>
      </w:pPr>
      <w:r>
        <w:t xml:space="preserve">Eigene Website / Landing Page</w:t>
      </w:r>
    </w:p>
    <w:p>
      <w:pPr>
        <w:pStyle w:val="Compact"/>
        <w:numPr>
          <w:ilvl w:val="0"/>
          <w:numId w:val="1003"/>
        </w:numPr>
      </w:pPr>
      <w:r>
        <w:t xml:space="preserve">Lehrer-Communities &amp; Social Media (z. B. Twitter/Bluesky, Lehrerforen)</w:t>
      </w:r>
    </w:p>
    <w:p>
      <w:pPr>
        <w:pStyle w:val="Compact"/>
        <w:numPr>
          <w:ilvl w:val="0"/>
          <w:numId w:val="1003"/>
        </w:numPr>
      </w:pPr>
      <w:r>
        <w:t xml:space="preserve">Präsentationen in Schulnetzwerken</w:t>
      </w:r>
    </w:p>
    <w:p>
      <w:pPr>
        <w:pStyle w:val="Compact"/>
        <w:numPr>
          <w:ilvl w:val="0"/>
          <w:numId w:val="1003"/>
        </w:numPr>
      </w:pPr>
      <w:r>
        <w:t xml:space="preserve">Workshops, Fortbildungen und Webinare</w:t>
      </w:r>
    </w:p>
    <w:bookmarkEnd w:id="22"/>
    <w:bookmarkStart w:id="23" w:name="kundenbeziehungen-customer-relationships"/>
    <w:p>
      <w:pPr>
        <w:pStyle w:val="Heading2"/>
      </w:pPr>
      <w:r>
        <w:t xml:space="preserve">4. Kundenbeziehungen (Customer Relationships)</w:t>
      </w:r>
    </w:p>
    <w:p>
      <w:pPr>
        <w:pStyle w:val="Compact"/>
        <w:numPr>
          <w:ilvl w:val="0"/>
          <w:numId w:val="1004"/>
        </w:numPr>
      </w:pPr>
      <w:r>
        <w:t xml:space="preserve">Selbstbedienung über intuitive Oberfläche</w:t>
      </w:r>
    </w:p>
    <w:p>
      <w:pPr>
        <w:pStyle w:val="Compact"/>
        <w:numPr>
          <w:ilvl w:val="0"/>
          <w:numId w:val="1004"/>
        </w:numPr>
      </w:pPr>
      <w:r>
        <w:t xml:space="preserve">Begleitmaterial (Video-Tutorials, Dokumentationen)</w:t>
      </w:r>
    </w:p>
    <w:p>
      <w:pPr>
        <w:pStyle w:val="Compact"/>
        <w:numPr>
          <w:ilvl w:val="0"/>
          <w:numId w:val="1004"/>
        </w:numPr>
      </w:pPr>
      <w:r>
        <w:t xml:space="preserve">Persönliche Beratung (für Schulen und Teams)</w:t>
      </w:r>
    </w:p>
    <w:p>
      <w:pPr>
        <w:pStyle w:val="Compact"/>
        <w:numPr>
          <w:ilvl w:val="0"/>
          <w:numId w:val="1004"/>
        </w:numPr>
      </w:pPr>
      <w:r>
        <w:t xml:space="preserve">Community-Support und Feedback-Loop</w:t>
      </w:r>
    </w:p>
    <w:bookmarkEnd w:id="23"/>
    <w:bookmarkStart w:id="24" w:name="einnahmequellen-revenue-streams"/>
    <w:p>
      <w:pPr>
        <w:pStyle w:val="Heading2"/>
      </w:pPr>
      <w:r>
        <w:t xml:space="preserve">5. Einnahmequellen (Revenue Streams)</w:t>
      </w:r>
    </w:p>
    <w:p>
      <w:pPr>
        <w:pStyle w:val="Compact"/>
        <w:numPr>
          <w:ilvl w:val="0"/>
          <w:numId w:val="1005"/>
        </w:numPr>
      </w:pPr>
      <w:r>
        <w:t xml:space="preserve">Einmalige Lizenzgebühr für lokale Installation</w:t>
      </w:r>
    </w:p>
    <w:p>
      <w:pPr>
        <w:pStyle w:val="Compact"/>
        <w:numPr>
          <w:ilvl w:val="0"/>
          <w:numId w:val="1005"/>
        </w:numPr>
      </w:pPr>
      <w:r>
        <w:t xml:space="preserve">Monatliches Abo-Modell für Cloud-Nutzung</w:t>
      </w:r>
    </w:p>
    <w:p>
      <w:pPr>
        <w:pStyle w:val="Compact"/>
        <w:numPr>
          <w:ilvl w:val="0"/>
          <w:numId w:val="1005"/>
        </w:numPr>
      </w:pPr>
      <w:r>
        <w:t xml:space="preserve">Premium-Features (KI-Tagging, intelligente Empfehlungen)</w:t>
      </w:r>
    </w:p>
    <w:p>
      <w:pPr>
        <w:pStyle w:val="Compact"/>
        <w:numPr>
          <w:ilvl w:val="0"/>
          <w:numId w:val="1005"/>
        </w:numPr>
      </w:pPr>
      <w:r>
        <w:t xml:space="preserve">Schul- oder Teamlizenzen</w:t>
      </w:r>
    </w:p>
    <w:p>
      <w:pPr>
        <w:pStyle w:val="Compact"/>
        <w:numPr>
          <w:ilvl w:val="0"/>
          <w:numId w:val="1005"/>
        </w:numPr>
      </w:pPr>
      <w:r>
        <w:t xml:space="preserve">Custom-Implementierungen für Bildungseinrichtungen</w:t>
      </w:r>
    </w:p>
    <w:bookmarkEnd w:id="24"/>
    <w:bookmarkStart w:id="25" w:name="schlüsselressourcen-key-resources"/>
    <w:p>
      <w:pPr>
        <w:pStyle w:val="Heading2"/>
      </w:pPr>
      <w:r>
        <w:t xml:space="preserve">6. Schlüsselressourcen (Key Resources)</w:t>
      </w:r>
    </w:p>
    <w:p>
      <w:pPr>
        <w:pStyle w:val="Compact"/>
        <w:numPr>
          <w:ilvl w:val="0"/>
          <w:numId w:val="1006"/>
        </w:numPr>
      </w:pPr>
      <w:r>
        <w:t xml:space="preserve">Softwareplattform (TeacherCloud)</w:t>
      </w:r>
    </w:p>
    <w:p>
      <w:pPr>
        <w:pStyle w:val="Compact"/>
        <w:numPr>
          <w:ilvl w:val="0"/>
          <w:numId w:val="1006"/>
        </w:numPr>
      </w:pPr>
      <w:r>
        <w:t xml:space="preserve">KI-Modelle (NLP, Embeddings, Texterkennung)</w:t>
      </w:r>
    </w:p>
    <w:p>
      <w:pPr>
        <w:pStyle w:val="Compact"/>
        <w:numPr>
          <w:ilvl w:val="0"/>
          <w:numId w:val="1006"/>
        </w:numPr>
      </w:pPr>
      <w:r>
        <w:t xml:space="preserve">Datenbank- und Cloud-Infrastruktur</w:t>
      </w:r>
    </w:p>
    <w:p>
      <w:pPr>
        <w:pStyle w:val="Compact"/>
        <w:numPr>
          <w:ilvl w:val="0"/>
          <w:numId w:val="1006"/>
        </w:numPr>
      </w:pPr>
      <w:r>
        <w:t xml:space="preserve">Entwickler-Know-how (Python, SQL, Cloud, KI)</w:t>
      </w:r>
    </w:p>
    <w:p>
      <w:pPr>
        <w:pStyle w:val="Compact"/>
        <w:numPr>
          <w:ilvl w:val="0"/>
          <w:numId w:val="1006"/>
        </w:numPr>
      </w:pPr>
      <w:r>
        <w:t xml:space="preserve">Didaktisches Wissen über Unterrichtsmaterialien</w:t>
      </w:r>
    </w:p>
    <w:bookmarkEnd w:id="25"/>
    <w:bookmarkStart w:id="26" w:name="schlüsselaktivitäten-key-activities"/>
    <w:p>
      <w:pPr>
        <w:pStyle w:val="Heading2"/>
      </w:pPr>
      <w:r>
        <w:t xml:space="preserve">7. Schlüsselaktivitäten (Key Activities)</w:t>
      </w:r>
    </w:p>
    <w:p>
      <w:pPr>
        <w:pStyle w:val="Compact"/>
        <w:numPr>
          <w:ilvl w:val="0"/>
          <w:numId w:val="1007"/>
        </w:numPr>
      </w:pPr>
      <w:r>
        <w:t xml:space="preserve">Entwicklung der Cloud- und Datenbankarchitektur</w:t>
      </w:r>
    </w:p>
    <w:p>
      <w:pPr>
        <w:pStyle w:val="Compact"/>
        <w:numPr>
          <w:ilvl w:val="0"/>
          <w:numId w:val="1007"/>
        </w:numPr>
      </w:pPr>
      <w:r>
        <w:t xml:space="preserve">Aufbau von KI-Funktionen (Tagging, Suche, Empfehlungen)</w:t>
      </w:r>
    </w:p>
    <w:p>
      <w:pPr>
        <w:pStyle w:val="Compact"/>
        <w:numPr>
          <w:ilvl w:val="0"/>
          <w:numId w:val="1007"/>
        </w:numPr>
      </w:pPr>
      <w:r>
        <w:t xml:space="preserve">UX/UI-Design des Dashboards</w:t>
      </w:r>
    </w:p>
    <w:p>
      <w:pPr>
        <w:pStyle w:val="Compact"/>
        <w:numPr>
          <w:ilvl w:val="0"/>
          <w:numId w:val="1007"/>
        </w:numPr>
      </w:pPr>
      <w:r>
        <w:t xml:space="preserve">Lokale und Cloud-basierte Deployments</w:t>
      </w:r>
    </w:p>
    <w:p>
      <w:pPr>
        <w:pStyle w:val="Compact"/>
        <w:numPr>
          <w:ilvl w:val="0"/>
          <w:numId w:val="1007"/>
        </w:numPr>
      </w:pPr>
      <w:r>
        <w:t xml:space="preserve">Kundenfeedback einholen, Produkt weiterentwickeln</w:t>
      </w:r>
    </w:p>
    <w:bookmarkEnd w:id="26"/>
    <w:bookmarkStart w:id="27" w:name="schlüsselpartner-key-partners"/>
    <w:p>
      <w:pPr>
        <w:pStyle w:val="Heading2"/>
      </w:pPr>
      <w:r>
        <w:t xml:space="preserve">8. Schlüsselpartner (Key Partners)</w:t>
      </w:r>
    </w:p>
    <w:p>
      <w:pPr>
        <w:pStyle w:val="Compact"/>
        <w:numPr>
          <w:ilvl w:val="0"/>
          <w:numId w:val="1008"/>
        </w:numPr>
      </w:pPr>
      <w:r>
        <w:t xml:space="preserve">Schulen und Lehrkräfte (Pilotkunden)</w:t>
      </w:r>
    </w:p>
    <w:p>
      <w:pPr>
        <w:pStyle w:val="Compact"/>
        <w:numPr>
          <w:ilvl w:val="0"/>
          <w:numId w:val="1008"/>
        </w:numPr>
      </w:pPr>
      <w:r>
        <w:t xml:space="preserve">Hosting-Anbieter (Hetzner, ggf. Cloud-Dienste)</w:t>
      </w:r>
    </w:p>
    <w:p>
      <w:pPr>
        <w:pStyle w:val="Compact"/>
        <w:numPr>
          <w:ilvl w:val="0"/>
          <w:numId w:val="1008"/>
        </w:numPr>
      </w:pPr>
      <w:r>
        <w:t xml:space="preserve">EdTech-Unternehmen (Kooperationen, Lizenzierung)</w:t>
      </w:r>
    </w:p>
    <w:p>
      <w:pPr>
        <w:pStyle w:val="Compact"/>
        <w:numPr>
          <w:ilvl w:val="0"/>
          <w:numId w:val="1008"/>
        </w:numPr>
      </w:pPr>
      <w:r>
        <w:t xml:space="preserve">Open-Source-Communities (Nextcloud, Python Libraries)</w:t>
      </w:r>
    </w:p>
    <w:bookmarkEnd w:id="27"/>
    <w:bookmarkStart w:id="28" w:name="kostenstruktur-cost-structure"/>
    <w:p>
      <w:pPr>
        <w:pStyle w:val="Heading2"/>
      </w:pPr>
      <w:r>
        <w:t xml:space="preserve">9. Kostenstruktur (Cost Structure)</w:t>
      </w:r>
    </w:p>
    <w:p>
      <w:pPr>
        <w:pStyle w:val="Compact"/>
        <w:numPr>
          <w:ilvl w:val="0"/>
          <w:numId w:val="1009"/>
        </w:numPr>
      </w:pPr>
      <w:r>
        <w:t xml:space="preserve">Hosting- und Serverkosten</w:t>
      </w:r>
    </w:p>
    <w:p>
      <w:pPr>
        <w:pStyle w:val="Compact"/>
        <w:numPr>
          <w:ilvl w:val="0"/>
          <w:numId w:val="1009"/>
        </w:numPr>
      </w:pPr>
      <w:r>
        <w:t xml:space="preserve">Entwicklungszeit (Software, KI-Modelle)</w:t>
      </w:r>
    </w:p>
    <w:p>
      <w:pPr>
        <w:pStyle w:val="Compact"/>
        <w:numPr>
          <w:ilvl w:val="0"/>
          <w:numId w:val="1009"/>
        </w:numPr>
      </w:pPr>
      <w:r>
        <w:t xml:space="preserve">Wartung &amp; Support</w:t>
      </w:r>
    </w:p>
    <w:p>
      <w:pPr>
        <w:pStyle w:val="Compact"/>
        <w:numPr>
          <w:ilvl w:val="0"/>
          <w:numId w:val="1009"/>
        </w:numPr>
      </w:pPr>
      <w:r>
        <w:t xml:space="preserve">Marketing &amp; Dokumentation</w:t>
      </w:r>
    </w:p>
    <w:p>
      <w:pPr>
        <w:pStyle w:val="Compact"/>
        <w:numPr>
          <w:ilvl w:val="0"/>
          <w:numId w:val="1009"/>
        </w:numPr>
      </w:pPr>
      <w:r>
        <w:t xml:space="preserve">Fortbildungen, Workshops und Schulungen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Dieses Canvas dient als strategische Vorlage für die Produktentwicklung, Vermarktung und Umsetzung von TeacherCloud.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2025-11-18T20:43:48Z</dcterms:created>
  <dcterms:modified xsi:type="dcterms:W3CDTF">2025-11-18T20:43:48Z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