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07C41"/>
        </w:rPr>
        <w:t>DOSSIER DE CANDIDATURE &amp; PRÉSENTATION COMPLÈTE — SALUBAPP</w:t>
      </w:r>
    </w:p>
    <w:p>
      <w:pPr>
        <w:jc w:val="center"/>
      </w:pPr>
      <w:r>
        <w:rPr>
          <w:b/>
          <w:color w:val="505050"/>
          <w:sz w:val="26"/>
        </w:rPr>
        <w:t>Donner le pouvoir aux citoyens pour bâtir ensemble des villes propres :</w:t>
        <w:br/>
        <w:t>La plateforme CivTech &amp; Intelligence Artificielle qui fait de chaque Ivoirien l'acteur majeur de la salubrité et de l'assainissement de son quartier</w:t>
      </w:r>
    </w:p>
    <w:p>
      <w:pPr>
        <w:jc w:val="center"/>
      </w:pPr>
      <w:r>
        <w:rPr>
          <w:i/>
          <w:color w:val="107C41"/>
        </w:rPr>
        <w:t>Plateforme Citoyenne : https://salubapp-l8hz.vercel.app/</w:t>
        <w:br/>
        <w:t>Portail Dédié aux Structures (Mairies, ONG, Opérateurs) : https://salubapp-l8hz.vercel.app/dashboard</w:t>
      </w:r>
    </w:p>
    <w:p>
      <w:pPr>
        <w:jc w:val="center"/>
      </w:pPr>
      <w:r>
        <w:t>___________________________________________________________________________</w:t>
      </w:r>
    </w:p>
    <w:p>
      <w:pPr>
        <w:pStyle w:val="Heading1"/>
      </w:pPr>
      <w:r>
        <w:rPr>
          <w:rFonts w:ascii="Calibri" w:hAnsi="Calibri"/>
          <w:color w:val="B45309"/>
        </w:rPr>
        <w:t>0. RÉSUMÉ EXÉCUTIF &amp; INSTRUCTIONS DE CANDIDATURE</w:t>
      </w:r>
    </w:p>
    <w:p>
      <w:r>
        <w:rPr>
          <w:i/>
        </w:rPr>
        <w:t>Note d'instruction (si vous fournissez ce document à une IA comme Gemini pour adapter une réponse à un formulaire) :</w:t>
        <w:br/>
        <w:t>« Tu es un expert en rédaction de dossiers de candidature pour des compétitions d'innovation technologique, concours de startups Impact / Smart City / GovTech, incubateurs et appels à projets en Côte d'Ivoire et en Afrique. À partir de toutes les informations techniques, fonctionnelles et économiques contenues dans ce document, rédige un dossier de candidature percutant, structuré et convaincant pour le jury.</w:t>
        <w:br/>
        <w:br/>
        <w:t>POINTS CLÉS À METTRE EN AVANT :</w:t>
        <w:br/>
        <w:t>1. NOTRE PHILOSOPHIE CITOYENNE : La pollution et l'insalubrité sont l'affaire de tous ! SalubApp redonne le pouvoir à la population et permet à chaque Ivoirien d'être acteur de sa ville propre.</w:t>
        <w:br/>
        <w:t>2. L'INNOVATION IA &amp; VIE PRIVÉE : Analyse par Google Gemini Vision (filtrage anti-hors-sujet, classification automatique, floutage chirurgical 100 % automatique des visages, et détection de doublons par similitude visuelle des repères urbains + GPS).</w:t>
        <w:br/>
        <w:t>3. DOUBLE PLATEFORME SÉPARÉE &amp; SYNCHRONISÉE EN TEMPS RÉEL : Une interface 100 % citoyenne et un Portail Structures séparé (/dashboard) avec carte graphique/thermique des déchets et synchronisation instantanée des statuts (verrouillage automatique des votes dès qu'un problème est résolu).</w:t>
        <w:br/>
        <w:t>4. UN MODÈLE ÉCONOMIQUE VIABLE EN 4 PILIERS : Gratuit pour les citoyens, rentabilisé via (1) les abonnements Mairies, (2) les abonnements Opérateurs de ramassage &amp; Structures, (3) le Sponsoring RSE avec badge d'impact, et (4) la monétisation API &amp; Données Urbaines anonymisées. »</w:t>
      </w:r>
    </w:p>
    <w:p>
      <w:pPr>
        <w:pStyle w:val="Heading1"/>
      </w:pPr>
      <w:r>
        <w:rPr>
          <w:rFonts w:ascii="Calibri" w:hAnsi="Calibri"/>
          <w:color w:val="107C41"/>
        </w:rPr>
        <w:t>1. Philosophie &amp; Vision : La Salubrité est l'Affaire de Tous, chaque Ivoirien devient Acteur</w:t>
      </w:r>
    </w:p>
    <w:p>
      <w:r>
        <w:rPr>
          <w:b/>
        </w:rPr>
        <w:t xml:space="preserve">La lutte contre la pollution urbaine et l'insalubrité ne peut pas reposer uniquement sur les épaules de l'État ou des mairies : c'est une affaire collective qui concerne chaque citoyen. </w:t>
      </w:r>
      <w:r>
        <w:t>Trop longtemps, les habitants d'Abidjan et des villes ivoiriennes se sont sentis impuissants face aux dépotoirs sauvages, aux caniveaux bouchés et aux eaux usées qui menacent la santé de leurs familles, faute d'outil simple et sécurisé pour agir.</w:t>
      </w:r>
    </w:p>
    <w:p>
      <w:pPr>
        <w:pStyle w:val="ListBullet"/>
      </w:pPr>
      <w:r>
        <w:t>Redonner le pouvoir d'agir à la population (Empowerment Citoyen) : SalubApp transforme chaque smartphone en un outil d'action civique immédiat. Chaque habitant devient les yeux et la voix de son quartier.</w:t>
      </w:r>
    </w:p>
    <w:p>
      <w:pPr>
        <w:pStyle w:val="ListBullet"/>
      </w:pPr>
      <w:r>
        <w:t>De spectateur à Acteur de sa Ville Propre : L'Ivoirien ne subit plus l'insalubrité ; il participe activement à l'assainissement de sa commune en signalant, en confirmant les alertes de ses voisins (+1) et en suivant la résolution réelle des problèmes sur le terrain.</w:t>
      </w:r>
    </w:p>
    <w:p>
      <w:pPr>
        <w:pStyle w:val="ListBullet"/>
      </w:pPr>
      <w:r>
        <w:t>Une responsabilité partagée et transparente (Citoyens + Structures) : SalubApp crée un pont de confiance inédit entre la population, les mairies, les ONG et les opérateurs de collecte. Les citoyens orientent l'action publique grâce à la donnée de terrain, et les structures prouvent leur efficacité.</w:t>
      </w:r>
    </w:p>
    <w:p>
      <w:pPr>
        <w:pStyle w:val="ListBullet"/>
      </w:pPr>
      <w:r>
        <w:t>Gratuité totale pour la population : Pour que chaque Ivoirien puisse participer sans barrière financière, l'application citoyenne est et restera 100 % gratuite et accessible sans inscription complexe.</w:t>
      </w:r>
    </w:p>
    <w:p>
      <w:pPr>
        <w:pStyle w:val="Heading1"/>
      </w:pPr>
      <w:r>
        <w:rPr>
          <w:rFonts w:ascii="Calibri" w:hAnsi="Calibri"/>
          <w:color w:val="107C41"/>
        </w:rPr>
        <w:t>2. Problématique Urbaine &amp; Réponse Technologique</w:t>
      </w:r>
    </w:p>
    <w:p>
      <w:r>
        <w:t>À Abidjan et dans les grandes métropoles d'Afrique francophone, la gestion de la salubrité publique et de la voirie se heurte à quatre défis majeurs :</w:t>
      </w:r>
    </w:p>
    <w:p>
      <w:pPr>
        <w:pStyle w:val="ListBullet"/>
      </w:pPr>
      <w:r>
        <w:t>L'absence de canal direct, rapide et sécurisé permettant aux citoyens de signaler une nuisance urbaine (dépotoirs sauvages, caniveaux bouchés, fuites d'eau, nids-de-poule).</w:t>
      </w:r>
    </w:p>
    <w:p>
      <w:pPr>
        <w:pStyle w:val="ListBullet"/>
      </w:pPr>
      <w:r>
        <w:t>La crainte d'exposition des données personnelles qui freine le signalement citoyen.</w:t>
      </w:r>
    </w:p>
    <w:p>
      <w:pPr>
        <w:pStyle w:val="ListBullet"/>
      </w:pPr>
      <w:r>
        <w:t>Le manque de données géolocalisées en temps réel pour les mairies, ONG et opérateurs techniques (ANAGED, ONAD, SODECI, sociétés de pré-collecte), qui doivent souvent patrouiller à l'aveugle au lieu de cibler les points noirs prioritaires.</w:t>
      </w:r>
    </w:p>
    <w:p>
      <w:pPr>
        <w:pStyle w:val="ListBullet"/>
      </w:pPr>
      <w:r>
        <w:t>Le manque de visibilité sur les interventions effectuées : lorsqu'un problème est résolu sur le terrain, l'information n'est pas synchronisée avec la population.</w:t>
      </w:r>
    </w:p>
    <w:p>
      <w:r>
        <w:t>SalubApp répond à ces défis grâce à un écosystème composé de deux interfaces distinctes mais synchronisées en temps réel : une interface Citoyenne 100 % anonyme propulsée par l'Intelligence Artificielle multimodale, et un Portail dédié aux Structures (/dashboard) offrant une cartographie décisionnelle et un suivi opérationnel complet.</w:t>
      </w:r>
    </w:p>
    <w:p>
      <w:pPr>
        <w:pStyle w:val="Heading1"/>
      </w:pPr>
      <w:r>
        <w:rPr>
          <w:rFonts w:ascii="Calibri" w:hAnsi="Calibri"/>
          <w:color w:val="107C41"/>
        </w:rPr>
        <w:t>3. Innovations &amp; Fonctionnalités Clés — Plateforme Citoyenne</w:t>
      </w:r>
    </w:p>
    <w:p>
      <w:pPr>
        <w:pStyle w:val="Heading2"/>
      </w:pPr>
      <w:r>
        <w:rPr>
          <w:rFonts w:ascii="Calibri" w:hAnsi="Calibri"/>
          <w:color w:val="107C41"/>
        </w:rPr>
        <w:t>3.1. Anonymat Absolu &amp; Protection de la Vie Privée (Privacy-by-Design)</w:t>
      </w:r>
    </w:p>
    <w:p>
      <w:pPr>
        <w:pStyle w:val="ListBullet"/>
      </w:pPr>
      <w:r>
        <w:t>Connexion 100 % anonyme en un clic : Aucun nom, prénom, numéro de téléphone ou adresse e-mail n'est requis pour signaler.</w:t>
      </w:r>
    </w:p>
    <w:p>
      <w:pPr>
        <w:pStyle w:val="ListBullet"/>
      </w:pPr>
      <w:r>
        <w:t>Floutage Chirurgical 100 % Automatique des Visages par IA : Dès qu'une photo est prise ou importée, le moteur d'IA détecte automatiquement toutes les têtes et visages humains (même de loin, de profil ou portant une casquette) et applique une mosaïque d'anonymisation ciblée uniquement sur les visages, sans masquer les déchets ni le décor.</w:t>
      </w:r>
    </w:p>
    <w:p>
      <w:pPr>
        <w:pStyle w:val="ListBullet"/>
      </w:pPr>
      <w:r>
        <w:t>Suppression automatique des métadonnées EXIF : Lors du re-encodage de l'image, toutes les métadonnées cachées de l'appareil photo sont intégralement purgées.</w:t>
      </w:r>
    </w:p>
    <w:p>
      <w:pPr>
        <w:pStyle w:val="Heading2"/>
      </w:pPr>
      <w:r>
        <w:rPr>
          <w:rFonts w:ascii="Calibri" w:hAnsi="Calibri"/>
          <w:color w:val="107C41"/>
        </w:rPr>
        <w:t>3.2. Intelligence Artificielle Embarquée (Google Gemini Vision)</w:t>
      </w:r>
    </w:p>
    <w:p>
      <w:pPr>
        <w:pStyle w:val="ListBullet"/>
      </w:pPr>
      <w:r>
        <w:t>Filtrage Strict Anti-Abus et Anti-Hors-Sujet : L'IA analyse sémantiquement chaque photo soumise. Si un utilisateur envoie une photo hors-sujet (feuille de papier, cahier, selfie, intérieur de maison, écran), l'IA rejette immédiatement l'image avec une explication en français.</w:t>
      </w:r>
    </w:p>
    <w:p>
      <w:pPr>
        <w:pStyle w:val="ListBullet"/>
      </w:pPr>
      <w:r>
        <w:t>Classification Automatique du Problème : L'IA identifie automatiquement la nature du problème parmi les 8 catégories officielles et affiche son score de confiance.</w:t>
      </w:r>
    </w:p>
    <w:p>
      <w:pPr>
        <w:pStyle w:val="ListBullet"/>
      </w:pPr>
      <w:r>
        <w:t>Rédaction Automatique de la Description : L'IA génère automatiquement une phrase descriptive claire et précise en français.</w:t>
      </w:r>
    </w:p>
    <w:p>
      <w:pPr>
        <w:pStyle w:val="ListBullet"/>
      </w:pPr>
      <w:r>
        <w:t>Architecture Haute Disponibilité (Multi-Model Fallback) : Bascule automatique entre plusieurs modèles Gemini pour garantir une continuité de service à 100 %.</w:t>
      </w:r>
    </w:p>
    <w:p>
      <w:pPr>
        <w:pStyle w:val="Heading2"/>
      </w:pPr>
      <w:r>
        <w:rPr>
          <w:rFonts w:ascii="Calibri" w:hAnsi="Calibri"/>
          <w:color w:val="107C41"/>
        </w:rPr>
        <w:t>3.3. Les 8 Catégories Spécialisées de Salubrité et Voirie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Catégorie</w:t>
            </w:r>
          </w:p>
        </w:tc>
        <w:tc>
          <w:tcPr>
            <w:tcW w:type="dxa" w:w="2880"/>
          </w:tcPr>
          <w:p>
            <w:r>
              <w:rPr>
                <w:b/>
              </w:rPr>
              <w:t>Acteurs / Clients potentiels concernés</w:t>
            </w:r>
          </w:p>
        </w:tc>
      </w:tr>
      <w:tr>
        <w:tc>
          <w:tcPr>
            <w:tcW w:type="dxa" w:w="2880"/>
          </w:tcPr>
          <w:p>
            <w:r>
              <w:t>dechets</w:t>
            </w:r>
          </w:p>
        </w:tc>
        <w:tc>
          <w:tcPr>
            <w:tcW w:type="dxa" w:w="2880"/>
          </w:tcPr>
          <w:p>
            <w:r>
              <w:t>Déchets / dépotoir sauvage</w:t>
            </w:r>
          </w:p>
        </w:tc>
        <w:tc>
          <w:tcPr>
            <w:tcW w:type="dxa" w:w="2880"/>
          </w:tcPr>
          <w:p>
            <w:r>
              <w:t>Mairies, ANAGED, Opérateurs de ramassage, Sponsors RSE</w:t>
            </w:r>
          </w:p>
        </w:tc>
      </w:tr>
      <w:tr>
        <w:tc>
          <w:tcPr>
            <w:tcW w:type="dxa" w:w="2880"/>
          </w:tcPr>
          <w:p>
            <w:r>
              <w:t>eaux_usees</w:t>
            </w:r>
          </w:p>
        </w:tc>
        <w:tc>
          <w:tcPr>
            <w:tcW w:type="dxa" w:w="2880"/>
          </w:tcPr>
          <w:p>
            <w:r>
              <w:t>Caniveaux bouchés / eaux usées</w:t>
            </w:r>
          </w:p>
        </w:tc>
        <w:tc>
          <w:tcPr>
            <w:tcW w:type="dxa" w:w="2880"/>
          </w:tcPr>
          <w:p>
            <w:r>
              <w:t>ONAD, Mairies, Opérateurs de curage</w:t>
            </w:r>
          </w:p>
        </w:tc>
      </w:tr>
      <w:tr>
        <w:tc>
          <w:tcPr>
            <w:tcW w:type="dxa" w:w="2880"/>
          </w:tcPr>
          <w:p>
            <w:r>
              <w:t>voirie</w:t>
            </w:r>
          </w:p>
        </w:tc>
        <w:tc>
          <w:tcPr>
            <w:tcW w:type="dxa" w:w="2880"/>
          </w:tcPr>
          <w:p>
            <w:r>
              <w:t>Voirie dégradée / nid-de-poule</w:t>
            </w:r>
          </w:p>
        </w:tc>
        <w:tc>
          <w:tcPr>
            <w:tcW w:type="dxa" w:w="2880"/>
          </w:tcPr>
          <w:p>
            <w:r>
              <w:t>AGEROUTE, District d'Abidjan, Mairies, Bureaux d'études</w:t>
            </w:r>
          </w:p>
        </w:tc>
      </w:tr>
      <w:tr>
        <w:tc>
          <w:tcPr>
            <w:tcW w:type="dxa" w:w="2880"/>
          </w:tcPr>
          <w:p>
            <w:r>
              <w:t>eau_stagnante</w:t>
            </w:r>
          </w:p>
        </w:tc>
        <w:tc>
          <w:tcPr>
            <w:tcW w:type="dxa" w:w="2880"/>
          </w:tcPr>
          <w:p>
            <w:r>
              <w:t>Eau stagnante</w:t>
            </w:r>
          </w:p>
        </w:tc>
        <w:tc>
          <w:tcPr>
            <w:tcW w:type="dxa" w:w="2880"/>
          </w:tcPr>
          <w:p>
            <w:r>
              <w:t>Assainissement, Bailleurs Santé (Lutte contre le paludisme)</w:t>
            </w:r>
          </w:p>
        </w:tc>
      </w:tr>
      <w:tr>
        <w:tc>
          <w:tcPr>
            <w:tcW w:type="dxa" w:w="2880"/>
          </w:tcPr>
          <w:p>
            <w:r>
              <w:t>emprise_chaussee</w:t>
            </w:r>
          </w:p>
        </w:tc>
        <w:tc>
          <w:tcPr>
            <w:tcW w:type="dxa" w:w="2880"/>
          </w:tcPr>
          <w:p>
            <w:r>
              <w:t>Emprise de la chaussée</w:t>
            </w:r>
          </w:p>
        </w:tc>
        <w:tc>
          <w:tcPr>
            <w:tcW w:type="dxa" w:w="2880"/>
          </w:tcPr>
          <w:p>
            <w:r>
              <w:t>Police municipale, Mairies (Occupation anarchique)</w:t>
            </w:r>
          </w:p>
        </w:tc>
      </w:tr>
      <w:tr>
        <w:tc>
          <w:tcPr>
            <w:tcW w:type="dxa" w:w="2880"/>
          </w:tcPr>
          <w:p>
            <w:r>
              <w:t>chantier_ecoulement</w:t>
            </w:r>
          </w:p>
        </w:tc>
        <w:tc>
          <w:tcPr>
            <w:tcW w:type="dxa" w:w="2880"/>
          </w:tcPr>
          <w:p>
            <w:r>
              <w:t>Entrave à l'écoulement des eaux (chantier)</w:t>
            </w:r>
          </w:p>
        </w:tc>
        <w:tc>
          <w:tcPr>
            <w:tcW w:type="dxa" w:w="2880"/>
          </w:tcPr>
          <w:p>
            <w:r>
              <w:t>Services techniques municipaux, Urbanisme</w:t>
            </w:r>
          </w:p>
        </w:tc>
      </w:tr>
      <w:tr>
        <w:tc>
          <w:tcPr>
            <w:tcW w:type="dxa" w:w="2880"/>
          </w:tcPr>
          <w:p>
            <w:r>
              <w:t>fuite_sodeci</w:t>
            </w:r>
          </w:p>
        </w:tc>
        <w:tc>
          <w:tcPr>
            <w:tcW w:type="dxa" w:w="2880"/>
          </w:tcPr>
          <w:p>
            <w:r>
              <w:t>Fuite d'eau (SODECI)</w:t>
            </w:r>
          </w:p>
        </w:tc>
        <w:tc>
          <w:tcPr>
            <w:tcW w:type="dxa" w:w="2880"/>
          </w:tcPr>
          <w:p>
            <w:r>
              <w:t>SODECI (via API temps réel), Ministère de l'Hydraulique</w:t>
            </w:r>
          </w:p>
        </w:tc>
      </w:tr>
      <w:tr>
        <w:tc>
          <w:tcPr>
            <w:tcW w:type="dxa" w:w="2880"/>
          </w:tcPr>
          <w:p>
            <w:r>
              <w:t>autre</w:t>
            </w:r>
          </w:p>
        </w:tc>
        <w:tc>
          <w:tcPr>
            <w:tcW w:type="dxa" w:w="2880"/>
          </w:tcPr>
          <w:p>
            <w:r>
              <w:t>Autre nuisance urbaine</w:t>
            </w:r>
          </w:p>
        </w:tc>
        <w:tc>
          <w:tcPr>
            <w:tcW w:type="dxa" w:w="2880"/>
          </w:tcPr>
          <w:p>
            <w:r>
              <w:t>Services municipaux compétents</w:t>
            </w:r>
          </w:p>
        </w:tc>
      </w:tr>
    </w:tbl>
    <w:p/>
    <w:p>
      <w:pPr>
        <w:pStyle w:val="Heading2"/>
      </w:pPr>
      <w:r>
        <w:rPr>
          <w:rFonts w:ascii="Calibri" w:hAnsi="Calibri"/>
          <w:color w:val="107C41"/>
        </w:rPr>
        <w:t>3.4. Détection Intelligente de Doublons par Similitude Visuelle IA + Localisation (+1)</w:t>
      </w:r>
    </w:p>
    <w:p>
      <w:pPr>
        <w:pStyle w:val="ListBullet"/>
      </w:pPr>
      <w:r>
        <w:t>Double vérification (GPS + Similitude Visuelle IA) : Ce n'est pas parce que deux photos sont prises à 30 mètres d'écart qu'il s'agit du même signalement. SalubApp combine la proximité GPS avec une analyse visuelle comparative par Gemini Vision.</w:t>
      </w:r>
    </w:p>
    <w:p>
      <w:pPr>
        <w:pStyle w:val="ListBullet"/>
      </w:pPr>
      <w:r>
        <w:t>Reconnaissance des Repères Urbains : Si un dépotoir sauvage se trouve par exemple à Siporex à côté de la Pharmacie Siporex et qu'un second citoyen photographie la scène, l'IA reconnaît les mêmes éléments visuels sur l'image (la Pharmacie Siporex, le bâtiment, le tas d'ordures) associés à la même localisation.</w:t>
      </w:r>
    </w:p>
    <w:p>
      <w:pPr>
        <w:pStyle w:val="ListBullet"/>
      </w:pPr>
      <w:r>
        <w:t>Consolidation Citoyenne (+1) : Une alerte interactive affiche alors la photo existante et invite le citoyen à cliquer sur « Confirmer ce problème (+1) » plutôt que de créer un doublon, faisant monter le score d'urgence du signalement.</w:t>
      </w:r>
    </w:p>
    <w:p>
      <w:pPr>
        <w:pStyle w:val="Heading2"/>
      </w:pPr>
      <w:r>
        <w:rPr>
          <w:rFonts w:ascii="Calibri" w:hAnsi="Calibri"/>
          <w:color w:val="107C41"/>
        </w:rPr>
        <w:t>3.5. Recherche par Commune GPS &amp; Synchronisation des Statuts</w:t>
      </w:r>
    </w:p>
    <w:p>
      <w:pPr>
        <w:pStyle w:val="ListBullet"/>
      </w:pPr>
      <w:r>
        <w:t>Détection Automatique de la Commune depuis l'Image : Les coordonnées GPS de chaque signalement permettent d'identifier automatiquement la commune parmi les 13 communes d'Abidjan (Yopougon, Cocody, Abobo, Marcory, Plateau, Treichville, Koumassi, Port-Bouët, Adjamé, Attécoubé, Anyama, Bingerville, Songon).</w:t>
      </w:r>
    </w:p>
    <w:p>
      <w:pPr>
        <w:pStyle w:val="ListBullet"/>
      </w:pPr>
      <w:r>
        <w:t>Barre de Recherche par Localité : Les citoyens peuvent rechercher instantanément tous les signalements d'une commune ou d'un quartier.</w:t>
      </w:r>
    </w:p>
    <w:p>
      <w:pPr>
        <w:pStyle w:val="ListBullet"/>
      </w:pPr>
      <w:r>
        <w:t>Verrouillage Automatique des Votes après Résolution : Dès qu'une structure marque un signalement comme « Résolu », l'information s'affiche immédiatement côté citoyen avec un bandeau vert « Problème résolu » et les boutons de vote sont automatiquement clôturés pour éviter toute confusion.</w:t>
      </w:r>
    </w:p>
    <w:p>
      <w:pPr>
        <w:pStyle w:val="Heading1"/>
      </w:pPr>
      <w:r>
        <w:rPr>
          <w:rFonts w:ascii="Calibri" w:hAnsi="Calibri"/>
          <w:color w:val="107C41"/>
        </w:rPr>
        <w:t>4. Portail Dédié et Séparé pour les Structures (/dashboard)</w:t>
      </w:r>
    </w:p>
    <w:p>
      <w:r>
        <w:t>Pour garantir une séparation claire des usages, SalubApp dispose d'un portail exclusivement réservé aux structures (accessible sur /dashboard), totalement indépendant de l'interface citoyenne :</w:t>
      </w:r>
    </w:p>
    <w:p>
      <w:pPr>
        <w:pStyle w:val="ListBullet"/>
      </w:pPr>
      <w:r>
        <w:t>Inscription par Type de Structure : Lors de son inscription, l'organisation choisit son profil (Mairie / Collectivité locale, ONG / Association, Opérateur de salubrité, Entreprise / RSE). Une fois inscrite, elle accède à l'ensemble des données de déchets et de nuisances.</w:t>
      </w:r>
    </w:p>
    <w:p>
      <w:pPr>
        <w:pStyle w:val="ListBullet"/>
      </w:pPr>
      <w:r>
        <w:t>Carte Graphique &amp; Statistiques Intégrées : Le portail offre aux structures une Carte Photos &amp; Statuts interactive, une Carte Thermique (Heatmap) d'intensité, ainsi que les graphiques de répartition par type de déchet et le classement des zones les plus touchées.</w:t>
      </w:r>
    </w:p>
    <w:p>
      <w:pPr>
        <w:pStyle w:val="ListBullet"/>
      </w:pPr>
      <w:r>
        <w:t>Tri par Score d'Urgence Citoyenne : Calcul automatique du niveau de priorité (« Urgence Critique », « Priorité Élevée », « Normale ») selon les confirmations (+1) et attestations de persistance.</w:t>
      </w:r>
    </w:p>
    <w:p>
      <w:pPr>
        <w:pStyle w:val="ListBullet"/>
      </w:pPr>
      <w:r>
        <w:t>Guidage Terrain (Google Maps) &amp; Export CSV/SIG : Bouton d'itinéraire direct vers le point GPS exact pour les équipes de ramassage et export complet des données en CSV/Excel.</w:t>
      </w:r>
    </w:p>
    <w:p>
      <w:pPr>
        <w:pStyle w:val="ListBullet"/>
      </w:pPr>
      <w:r>
        <w:t>Synchronisation Temps Réel avec la Population : Tout changement de statut (« Nouveau », « En cours », « Résolu ») effectué par une structure depuis la liste ou depuis la carte est répercuté en temps réel sur l'application des citoyens.</w:t>
      </w:r>
    </w:p>
    <w:p>
      <w:pPr>
        <w:pStyle w:val="Heading1"/>
      </w:pPr>
      <w:r>
        <w:rPr>
          <w:rFonts w:ascii="Calibri" w:hAnsi="Calibri"/>
          <w:color w:val="107C41"/>
        </w:rPr>
        <w:t>5. Modèle Économique &amp; Stratégie de Rentabilisation (Les 4 Piliers)</w:t>
      </w:r>
    </w:p>
    <w:p>
      <w:r>
        <w:rPr>
          <w:b/>
        </w:rPr>
        <w:t>Règle d'or du modèle économique : SalubApp est 100 % gratuite pour les citoyens (qui produisent la donnée et l'engagement civique) et génère des revenus récurrents auprès de 4 catégories d'acteurs économiques et institutionnels.</w:t>
      </w:r>
    </w:p>
    <w:p>
      <w:pPr>
        <w:pStyle w:val="Heading2"/>
      </w:pPr>
      <w:r>
        <w:rPr>
          <w:rFonts w:ascii="Calibri" w:hAnsi="Calibri"/>
          <w:color w:val="107C41"/>
        </w:rPr>
        <w:t>Pilier 1 : Abonnements SaaS pour les Mairies &amp; Collectivités (B2G)</w:t>
      </w:r>
    </w:p>
    <w:p>
      <w:r>
        <w:t>Les mairies et collectivités locales souscrivent un abonnement mensuel ou annuel au Portail Structures (/dashboard) pour disposer d'un tableau de bord temps réel de la salubrité de leur commune, prioriser les interventions de leurs équipes techniques et démontrer publiquement leur réactivité aux citoyens grâce aux statuts « En cours » et « Résolu ». (Tarif indicatif : 150 000 à 500 000 FCFA / mois par commune).</w:t>
      </w:r>
    </w:p>
    <w:p>
      <w:pPr>
        <w:pStyle w:val="Heading2"/>
      </w:pPr>
      <w:r>
        <w:rPr>
          <w:rFonts w:ascii="Calibri" w:hAnsi="Calibri"/>
          <w:color w:val="107C41"/>
        </w:rPr>
        <w:t>Pilier 2 : Abonnements Opérationnels pour les Opérateurs de Ramassage &amp; Structures (B2B)</w:t>
      </w:r>
    </w:p>
    <w:p>
      <w:r>
        <w:t>Les sociétés de ramassage d'ordures, PME de pré-collecte, opérateurs de curage de caniveaux et ONG financées utilisent SalubApp pour localiser au mètre près les dépotoirs à évacuer (optimisation des tournées de camions et économie de carburant) et pour certifier leurs interventions sur le terrain auprès de leurs donneurs d'ordre. (Tarif indicatif : 100 000 à 300 000 FCFA / mois ou commission sur interventions commandées).</w:t>
      </w:r>
    </w:p>
    <w:p>
      <w:pPr>
        <w:pStyle w:val="Heading2"/>
      </w:pPr>
      <w:r>
        <w:rPr>
          <w:rFonts w:ascii="Calibri" w:hAnsi="Calibri"/>
          <w:color w:val="107C41"/>
        </w:rPr>
        <w:t>Pilier 3 : Sponsoring Entreprises &amp; Programmes RSE (B2B Impact)</w:t>
      </w:r>
    </w:p>
    <w:p>
      <w:r>
        <w:t>Les grandes entreprises en Côte d'Ivoire (producteurs de boissons et d'eau embouteillée/sachets, opérateurs télécoms, banques, grandes surfaces, industries) financent la salubrité urbaine via 3 formats de sponsoring à forte visibilité citoyenne :</w:t>
      </w:r>
    </w:p>
    <w:p>
      <w:pPr>
        <w:pStyle w:val="ListBullet"/>
      </w:pPr>
      <w:r>
        <w:t>Le Badge d'Impact « Problème résolu grâce au soutien de [Sponsor] » : Le sponsor finance le ramassage d'un lot de dépotoirs sauvages. Sur chaque signalement nettoyé, les citoyens du quartier voient directement sur l'application que l'intervention a été financée par cette entreprise.</w:t>
      </w:r>
    </w:p>
    <w:p>
      <w:pPr>
        <w:pStyle w:val="ListBullet"/>
      </w:pPr>
      <w:r>
        <w:t>Le Sponsoring Territorial (« Commune Propre ») : Associer l'image de la marque à la carte de suivi d'une commune (ex. : « Initiative Salubrité soutenue par [Sponsor] »).</w:t>
      </w:r>
    </w:p>
    <w:p>
      <w:pPr>
        <w:pStyle w:val="ListBullet"/>
      </w:pPr>
      <w:r>
        <w:t>Les Campagnes « Coup de Propre » + Rapport RSE Certifié : Financement d'opérations ciblées sur les zones rouges de la carte thermique, avec remise d'un rapport d'impact chiffré et géolocalisé pour le bilan RSE annuel du sponsor (1 000 000 à 5 000 000 FCFA par campagne).</w:t>
      </w:r>
    </w:p>
    <w:p>
      <w:pPr>
        <w:pStyle w:val="Heading2"/>
      </w:pPr>
      <w:r>
        <w:rPr>
          <w:rFonts w:ascii="Calibri" w:hAnsi="Calibri"/>
          <w:color w:val="107C41"/>
        </w:rPr>
        <w:t>Pilier 4 : API &amp; Vente de Données Urbaines Anonymisées (Data-as-a-Service)</w:t>
      </w:r>
    </w:p>
    <w:p>
      <w:r>
        <w:t>SalubApp constitue une base de données unique en temps réel sur l'état physique de la ville (déchets, fuites d'eau, caniveaux obstrués, eaux stagnantes, dégradations de voirie). Ces données sont 100 % anonymes et conformes aux normes de protection de la vie privée (ARTCI / RGPD) grâce au floutage automatique des visages par IA.</w:t>
      </w:r>
    </w:p>
    <w:p>
      <w:pPr>
        <w:pStyle w:val="ListBullet"/>
      </w:pPr>
      <w:r>
        <w:t>Licence API Temps Réel pour les Concessionnaires Publics (SODECI, CIE, ANAGED, ONAD) : Connexion directe par API (JSON / GeoJSON) permettant par exemple à la SODECI de recevoir automatiquement dans son système chaque fuite d'eau signalée et validée par l'IA avec photo et point GPS exact (300 000 à 1 000 000 FCFA / mois).</w:t>
      </w:r>
    </w:p>
    <w:p>
      <w:pPr>
        <w:pStyle w:val="ListBullet"/>
      </w:pPr>
      <w:r>
        <w:t>Vente de Jeux de Données (Datasets) aux Bureaux d'Études (Urbanisme, BTP, Environnement) : Cartographie historique des zones inondables, des caniveaux bouchés et de la voirie dégradée pour les études d'impact et projets d'infrastructures (500 000 à 2 000 000 FCFA par étude).</w:t>
      </w:r>
    </w:p>
    <w:p>
      <w:pPr>
        <w:pStyle w:val="ListBullet"/>
      </w:pPr>
      <w:r>
        <w:t>Observatoire Urbain pour les Bailleurs Internationaux (Banque Mondiale, AFD, PNUD, ONU-Habitat) : Accès API et rapports analytiques permettant de cibler les investissements d'assainissement et de lutte contre le paludisme/inondations (2 000 000 à 10 000 000 FCFA / 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Pilier de Revenu</w:t>
            </w:r>
          </w:p>
        </w:tc>
        <w:tc>
          <w:tcPr>
            <w:tcW w:type="dxa" w:w="2160"/>
          </w:tcPr>
          <w:p>
            <w:r>
              <w:rPr>
                <w:b/>
              </w:rPr>
              <w:t>Clients Cibles</w:t>
            </w:r>
          </w:p>
        </w:tc>
        <w:tc>
          <w:tcPr>
            <w:tcW w:type="dxa" w:w="2160"/>
          </w:tcPr>
          <w:p>
            <w:r>
              <w:rPr>
                <w:b/>
              </w:rPr>
              <w:t>Proposition de Valeur</w:t>
            </w:r>
          </w:p>
        </w:tc>
        <w:tc>
          <w:tcPr>
            <w:tcW w:type="dxa" w:w="2160"/>
          </w:tcPr>
          <w:p>
            <w:r>
              <w:rPr>
                <w:b/>
              </w:rPr>
              <w:t>Tarification Indicative</w:t>
            </w:r>
          </w:p>
        </w:tc>
      </w:tr>
      <w:tr>
        <w:tc>
          <w:tcPr>
            <w:tcW w:type="dxa" w:w="2160"/>
          </w:tcPr>
          <w:p>
            <w:r>
              <w:t>1. Mairies &amp; Collectivités</w:t>
            </w:r>
          </w:p>
        </w:tc>
        <w:tc>
          <w:tcPr>
            <w:tcW w:type="dxa" w:w="2160"/>
          </w:tcPr>
          <w:p>
            <w:r>
              <w:t>Mairies des 13 communes d'Abidjan &amp; villes de l'intérieur</w:t>
            </w:r>
          </w:p>
        </w:tc>
        <w:tc>
          <w:tcPr>
            <w:tcW w:type="dxa" w:w="2160"/>
          </w:tcPr>
          <w:p>
            <w:r>
              <w:t>Portail de suivi, carte thermique, priorisation &amp; preuve d'action</w:t>
            </w:r>
          </w:p>
        </w:tc>
        <w:tc>
          <w:tcPr>
            <w:tcW w:type="dxa" w:w="2160"/>
          </w:tcPr>
          <w:p>
            <w:r>
              <w:t>150 000 – 500 000 FCFA / mois / commune</w:t>
            </w:r>
          </w:p>
        </w:tc>
      </w:tr>
      <w:tr>
        <w:tc>
          <w:tcPr>
            <w:tcW w:type="dxa" w:w="2160"/>
          </w:tcPr>
          <w:p>
            <w:r>
              <w:t>2. Opérateurs &amp; Structures</w:t>
            </w:r>
          </w:p>
        </w:tc>
        <w:tc>
          <w:tcPr>
            <w:tcW w:type="dxa" w:w="2160"/>
          </w:tcPr>
          <w:p>
            <w:r>
              <w:t>Sociétés de ramassage, PME de pré-collecte, curage, ONG</w:t>
            </w:r>
          </w:p>
        </w:tc>
        <w:tc>
          <w:tcPr>
            <w:tcW w:type="dxa" w:w="2160"/>
          </w:tcPr>
          <w:p>
            <w:r>
              <w:t>Coordonnées GPS exactes, itinéraires camions &amp; suivi d'intervention</w:t>
            </w:r>
          </w:p>
        </w:tc>
        <w:tc>
          <w:tcPr>
            <w:tcW w:type="dxa" w:w="2160"/>
          </w:tcPr>
          <w:p>
            <w:r>
              <w:t>100 000 – 300 000 FCFA / mois</w:t>
            </w:r>
          </w:p>
        </w:tc>
      </w:tr>
      <w:tr>
        <w:tc>
          <w:tcPr>
            <w:tcW w:type="dxa" w:w="2160"/>
          </w:tcPr>
          <w:p>
            <w:r>
              <w:t>3. Sponsoring RSE</w:t>
            </w:r>
          </w:p>
        </w:tc>
        <w:tc>
          <w:tcPr>
            <w:tcW w:type="dxa" w:w="2160"/>
          </w:tcPr>
          <w:p>
            <w:r>
              <w:t>Marques de boissons, Télécoms, Banques, Grandes surfaces</w:t>
            </w:r>
          </w:p>
        </w:tc>
        <w:tc>
          <w:tcPr>
            <w:tcW w:type="dxa" w:w="2160"/>
          </w:tcPr>
          <w:p>
            <w:r>
              <w:t>Badge « Résolu grâce à [Sponsor] », campagnes &amp; Rapport RSE certifié</w:t>
            </w:r>
          </w:p>
        </w:tc>
        <w:tc>
          <w:tcPr>
            <w:tcW w:type="dxa" w:w="2160"/>
          </w:tcPr>
          <w:p>
            <w:r>
              <w:t>1 000 000 – 5 000 000 FCFA / campagne</w:t>
            </w:r>
          </w:p>
        </w:tc>
      </w:tr>
      <w:tr>
        <w:tc>
          <w:tcPr>
            <w:tcW w:type="dxa" w:w="2160"/>
          </w:tcPr>
          <w:p>
            <w:r>
              <w:t>4. API &amp; Vente de Données</w:t>
            </w:r>
          </w:p>
        </w:tc>
        <w:tc>
          <w:tcPr>
            <w:tcW w:type="dxa" w:w="2160"/>
          </w:tcPr>
          <w:p>
            <w:r>
              <w:t>SODECI, ANAGED, ONAD, Bureaux d'études BTP, Bailleurs</w:t>
            </w:r>
          </w:p>
        </w:tc>
        <w:tc>
          <w:tcPr>
            <w:tcW w:type="dxa" w:w="2160"/>
          </w:tcPr>
          <w:p>
            <w:r>
              <w:t>Flux API temps réel (GeoJSON) &amp; études de données urbaines anonymisées</w:t>
            </w:r>
          </w:p>
        </w:tc>
        <w:tc>
          <w:tcPr>
            <w:tcW w:type="dxa" w:w="2160"/>
          </w:tcPr>
          <w:p>
            <w:r>
              <w:t>300 000 – 1 000 000 FCFA / mois ou par étude</w:t>
            </w:r>
          </w:p>
        </w:tc>
      </w:tr>
    </w:tbl>
    <w:p/>
    <w:p>
      <w:pPr>
        <w:pStyle w:val="Heading1"/>
      </w:pPr>
      <w:r>
        <w:rPr>
          <w:rFonts w:ascii="Calibri" w:hAnsi="Calibri"/>
          <w:color w:val="107C41"/>
        </w:rPr>
        <w:t>6. Architecture Technique &amp; Sécurité des Données</w:t>
      </w:r>
    </w:p>
    <w:p>
      <w:pPr>
        <w:pStyle w:val="ListBullet"/>
      </w:pPr>
      <w:r>
        <w:t>Frontend &amp; Framework Full-Stack : React 19, TypeScript, Vite, TanStack Start (SSR) &amp; TanStack Router, Tailwind CSS et composants accessibles Shadcn UI.</w:t>
      </w:r>
    </w:p>
    <w:p>
      <w:pPr>
        <w:pStyle w:val="ListBullet"/>
      </w:pPr>
      <w:r>
        <w:t>Cartographie Décisionnelle : Leaflet, React-Leaflet et Leaflet.heat pour le rendu haute performance des cartes photos et cartes thermiques.</w:t>
      </w:r>
    </w:p>
    <w:p>
      <w:pPr>
        <w:pStyle w:val="ListBullet"/>
      </w:pPr>
      <w:r>
        <w:t>Backend &amp; Base de Données : Supabase (PostgreSQL) avec politiques de sécurité Row-Level Security (RLS) et synchronisation temps réel des statuts.</w:t>
      </w:r>
    </w:p>
    <w:p>
      <w:pPr>
        <w:pStyle w:val="ListBullet"/>
      </w:pPr>
      <w:r>
        <w:t>Intelligence Artificielle : API Google Gemini Vision exécutée côté serveur (Server Functions) pour la classification, le floutage automatique des visages et la détection visuelle de doublons.</w:t>
      </w:r>
    </w:p>
    <w:p>
      <w:pPr>
        <w:pStyle w:val="ListBullet"/>
      </w:pPr>
      <w:r>
        <w:t>Infrastructure &amp; Déploiement Continu (CI/CD) : Dépôt GitHub et déploiement automatisé sur le réseau mondial Vercel Edge.</w:t>
      </w:r>
    </w:p>
    <w:p>
      <w:pPr>
        <w:pStyle w:val="Heading1"/>
      </w:pPr>
      <w:r>
        <w:rPr>
          <w:rFonts w:ascii="Calibri" w:hAnsi="Calibri"/>
          <w:color w:val="107C41"/>
        </w:rPr>
        <w:t>7. Impacts Sociaux, Sanitaires et Économiques (Arguments Clés pour le Jury)</w:t>
      </w:r>
    </w:p>
    <w:p>
      <w:pPr>
        <w:pStyle w:val="ListBullet"/>
      </w:pPr>
      <w:r>
        <w:t>Révolution Citoyenne (« L'Ivoirien Acteur de sa Ville Propre ») : La lutte contre la pollution devient participative. Chaque citoyen dispose du pouvoir d'améliorer concrètement la propreté de sa rue.</w:t>
      </w:r>
    </w:p>
    <w:p>
      <w:pPr>
        <w:pStyle w:val="ListBullet"/>
      </w:pPr>
      <w:r>
        <w:t>Impact Sanitaire et Environnemental Majeur : Élimination ciblée des dépotoirs sauvages, des eaux stagnantes et des caniveaux bouchés, réduisant directement le paludisme, les maladies hydriques et les risques d'inondations en saison des pluies.</w:t>
      </w:r>
    </w:p>
    <w:p>
      <w:pPr>
        <w:pStyle w:val="ListBullet"/>
      </w:pPr>
      <w:r>
        <w:t>Optimisation des Ressources Publiques et Privées : Les mairies, les opérateurs de ramassage et les sponsors RSE concentrent leurs budgets exactement là où les citoyens confirment l'urgence.</w:t>
      </w:r>
    </w:p>
    <w:p>
      <w:pPr>
        <w:pStyle w:val="ListBullet"/>
      </w:pPr>
      <w:r>
        <w:t>Scalabilité Nationale et Sous-Régionale : Déjà opérationnelle sur les 13 communes d'Abidjan, SalubApp est prête à être déployée dans toutes les villes de Côte d'Ivoire (Bouaké, Yamoussoukro, San-Pédro, Korhogo, Daloa) et en Afrique de l'Ouest.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