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0B2545"/>
          <w:sz w:val="58"/>
        </w:rPr>
        <w:t>CAPACITY ACTUATION</w:t>
        <w:br/>
        <w:t>DELAY REPORT</w:t>
      </w:r>
    </w:p>
    <w:p>
      <w:pPr>
        <w:jc w:val="center"/>
      </w:pPr>
      <w:r>
        <w:rPr>
          <w:rFonts w:ascii="Calibri" w:hAnsi="Calibri"/>
          <w:color w:val="1F4D78"/>
          <w:sz w:val="30"/>
        </w:rPr>
        <w:t>ANFA Research Project - Step 6</w:t>
      </w:r>
    </w:p>
    <w:p>
      <w:pPr>
        <w:jc w:val="center"/>
      </w:pPr>
      <w:r>
        <w:rPr>
          <w:rFonts w:ascii="Calibri" w:hAnsi="Calibri"/>
          <w:i/>
          <w:color w:val="5A6370"/>
          <w:sz w:val="22"/>
        </w:rPr>
        <w:t>Measured Kubernetes readiness and first-service delay</w:t>
      </w:r>
    </w:p>
    <w:p/>
    <w:p/>
    <w:p/>
    <w:p/>
    <w:p/>
    <w:p>
      <w:pPr>
        <w:jc w:val="center"/>
      </w:pPr>
      <w:r>
        <w:rPr>
          <w:rFonts w:ascii="Calibri" w:hAnsi="Calibri"/>
          <w:b/>
          <w:color w:val="1F4D78"/>
          <w:sz w:val="21"/>
        </w:rPr>
        <w:t>Local kind / Docker Desktop campaign</w:t>
        <w:br/>
        <w:t>Completed 4 August 2026</w:t>
      </w:r>
    </w:p>
    <w:p>
      <w:r>
        <w:br w:type="page"/>
      </w:r>
    </w:p>
    <w:p>
      <w:pPr>
        <w:pStyle w:val="Heading1"/>
      </w:pPr>
      <w:r>
        <w:t>Executive result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Step 6 measured how long a scaling instruction takes to become usable serving capacity. Thirty cached-image trials covered scale-ups from one Pod to two, three, and four Pods. Ten additional registry-repull trials quantified image availability effects. All retained main trials were valid.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300"/>
        <w:gridCol w:w="51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Decision</w:t>
            </w:r>
          </w:p>
        </w:tc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Final local result</w:t>
            </w:r>
          </w:p>
        </w:tc>
        <w:tc>
          <w:tcPr>
            <w:tcW w:type="dxa" w:w="5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Reason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Forecast horizon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9 seconds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ceil(6.514 s P95 effective service + 2 s minimum margin)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Operational metric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Effective first service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Covers readiness plus actual Service use by every requested new Pod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Image treatment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Pre-pull and verify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Registry repull increased +1-Pod P95 service by 1.305 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Transfer rule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Remeasure on native K3s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The local laptop topology and bridge are development-specific</w:t>
            </w:r>
          </w:p>
        </w:tc>
      </w:tr>
    </w:tbl>
    <w:p>
      <w:pPr>
        <w:spacing w:after="0"/>
      </w:pPr>
    </w:p>
    <w:p>
      <w:pPr>
        <w:spacing w:before="80" w:after="160"/>
        <w:ind w:left="115" w:right="115"/>
        <w:shd w:fill="F4F6F9"/>
      </w:pPr>
      <w:r>
        <w:rPr>
          <w:rFonts w:ascii="Calibri" w:hAnsi="Calibri"/>
          <w:b/>
          <w:color w:val="166534"/>
          <w:sz w:val="21"/>
        </w:rPr>
        <w:t xml:space="preserve">Final local decision: </w:t>
      </w:r>
      <w:r>
        <w:rPr>
          <w:rFonts w:ascii="Calibri" w:hAnsi="Calibri"/>
          <w:sz w:val="21"/>
        </w:rPr>
        <w:t>Use a 9-second forecast horizon for the local kind experiments. Replace this value with the native-K3s P95-plus-margin result before the main research campaign.</w:t>
      </w:r>
    </w:p>
    <w:p>
      <w:pPr>
        <w:pStyle w:val="Heading1"/>
      </w:pPr>
      <w:r>
        <w:t>Contents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Section</w:t>
            </w:r>
          </w:p>
        </w:tc>
        <w:tc>
          <w:tcPr>
            <w:tcW w:type="dxa" w:w="8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Subject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Purpose and relationship to earlier steps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Frozen configuration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Timestamp authority and delay definitions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Experimental methodology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Instrumentation validation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Cached campaign results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Replica-increment comparison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Image cache comparison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Forecast-horizon calculation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Findings and interpretation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Limitations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Corrections and exclusions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Reproducibility artifacts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Completion assessment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Appendix: distribution tables</w:t>
            </w:r>
          </w:p>
        </w:tc>
      </w:tr>
    </w:tbl>
    <w:p>
      <w:pPr>
        <w:spacing w:after="0"/>
      </w:pPr>
    </w:p>
    <w:p>
      <w:pPr>
        <w:pStyle w:val="Heading1"/>
      </w:pPr>
      <w:r>
        <w:t>1. Purpose and relationship to earlier steps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Step 4 created the deterministic benchmark application. Step 5 measured how much load each ready Pod count can safely serve. Step 6 answers the remaining timing question: how early must scaling begin so that the required Pods are actually ready and serving before forecast traffic arrives?</w:t>
      </w:r>
    </w:p>
    <w:p>
      <w:pPr>
        <w:spacing w:before="80" w:after="160"/>
        <w:ind w:left="115" w:right="115"/>
        <w:shd w:fill="F4F6F9"/>
      </w:pPr>
      <w:r>
        <w:rPr>
          <w:rFonts w:ascii="Calibri" w:hAnsi="Calibri"/>
          <w:b/>
          <w:color w:val="1F4D78"/>
          <w:sz w:val="21"/>
        </w:rPr>
        <w:t xml:space="preserve">Connection: </w:t>
      </w:r>
      <w:r>
        <w:rPr>
          <w:rFonts w:ascii="Calibri" w:hAnsi="Calibri"/>
          <w:sz w:val="21"/>
        </w:rPr>
        <w:t>Step 5 determines how many Pods are needed; Step 6 determines how early those Pods must be requested.</w:t>
      </w:r>
    </w:p>
    <w:p>
      <w:pPr>
        <w:pStyle w:val="Heading1"/>
      </w:pPr>
      <w:r>
        <w:t>2. Frozen configuration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Item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Frozen value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Cluster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kind-anfa-dev on Docker Desktop / WSL2; two experiment workers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Application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Go benchmark service v0.1.0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Image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anfa/benchmark-app@sha256:0fd880c...61cee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Work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50,000 SHA-256 iterations; seed anfa-benchmark-v1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Resources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500m CPU and 128Mi memory request=limit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Readiness probe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HTTP /readyz every 1 second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Service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NodePort 30080 through documented local bridge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Step 5 capacity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Cpod=45 RPS; C2=90; C3=105; C4=130 RPS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Manifest pull policy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IfNotPresent; image pre-pulled and verified before experiments</w:t>
            </w:r>
          </w:p>
        </w:tc>
      </w:tr>
    </w:tbl>
    <w:p>
      <w:pPr>
        <w:spacing w:after="0"/>
      </w:pPr>
    </w:p>
    <w:p>
      <w:pPr>
        <w:pStyle w:val="Heading1"/>
      </w:pPr>
      <w:r>
        <w:t>3. Timestamp authority and delay definitions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800"/>
        <w:gridCol w:w="37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6"/>
              </w:rPr>
              <w:t>Timestamp</w:t>
            </w:r>
          </w:p>
        </w:tc>
        <w:tc>
          <w:tcPr>
            <w:tcW w:type="dxa" w:w="3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6"/>
              </w:rPr>
              <w:t>Event</w:t>
            </w:r>
          </w:p>
        </w:tc>
        <w:tc>
          <w:tcPr>
            <w:tcW w:type="dxa" w:w="3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6"/>
              </w:rPr>
              <w:t>Authority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t_forecast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Forecast becomes available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Harness UTC + monotonic clock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t_decision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Controller/harness selects replica target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Harness UTC + monotonic clock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t_scale_sent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Deployment scale request issued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Harness UTC + monotonic clock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t_scale_ack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Kubernetes API acknowledges update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Harness UTC + monotonic clock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t_created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Pod object created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metadata.creationTimestamp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t_scheduled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PodScheduled=True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Condition lastTransitionTime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t_started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Container running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containerStatuses.state.running.startedAt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t_ready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Pod Ready=True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Condition lastTransitionTime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t_app_ready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Application enables readiness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X-Benchmark-Ready-At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t_first_request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New Pod first serves /work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Client monotonic clock + X-Benchmark-Pod-UID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Calibri" w:hAnsi="Calibri"/>
          <w:sz w:val="22"/>
        </w:rPr>
        <w:t>Kubernetes lifecycle fields have whole-second resolution. They are retained for authoritative ordering, while end-to-end creation, readiness, and serving delays use the harness monotonic first-observation clock. This prevents misleading negative differences when whole-second API fields and sub-second client timestamps occur in the same second.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Delay</w:t>
            </w:r>
          </w:p>
        </w:tc>
        <w:tc>
          <w:tcPr>
            <w:tcW w:type="dxa" w:w="6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Definition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Decision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t_decision - t_forecast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Deployment API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t_scale_ack - t_scale_sent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Creation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first observation of new Pod - t_scale_sent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Scheduling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t_scheduled - t_created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Startup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t_started - t_scheduled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Container-to-Ready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t_ready - t_started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Readiness actuation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Ready first observed - t_scale_sent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Effective serving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first /work response from new Pod - t_scale_sent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Increment completion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maximum delay among all requested new Pods</w:t>
            </w:r>
          </w:p>
        </w:tc>
      </w:tr>
    </w:tbl>
    <w:p>
      <w:pPr>
        <w:spacing w:after="0"/>
      </w:pPr>
    </w:p>
    <w:p>
      <w:pPr>
        <w:pStyle w:val="Heading1"/>
      </w:pPr>
      <w:r>
        <w:t>4. Experimental methodology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Each cached trial established exactly one Ready baseline Pod, waited for recovery, emitted forecast and decision markers, scaled to the selected target, polled Kubernetes state, and sent bounded fresh-connection /work probes until every new Pod was Ready and had served. The Deployment was then returned to one Pod.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Factor</w:t>
            </w:r>
          </w:p>
        </w:tc>
        <w:tc>
          <w:tcPr>
            <w:tcW w:type="dxa" w:w="7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Method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Replica increments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1→2, 1→3, and 1→4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Repetitions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10 valid trials per increment; 30 total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Ordering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Rotated 2/3/4, 3/4/2, 4/2/3 blocks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Polling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Nominal 100 ms; actual command and network overhead retained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Recovery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15 seconds for the main repeated block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Timeout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180 seconds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Completion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Last required new Pod Ready and then first observed serving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Evidence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Immutable trial directories with Pods, events, nodes, EndpointSlices, CSV and JSON</w:t>
            </w:r>
          </w:p>
        </w:tc>
      </w:tr>
    </w:tbl>
    <w:p>
      <w:pPr>
        <w:spacing w:after="0"/>
      </w:pPr>
    </w:p>
    <w:p>
      <w:pPr>
        <w:pStyle w:val="Heading1"/>
      </w:pPr>
      <w:r>
        <w:t>5. Instrumentation validation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Instrumentation pilots were deliberately excluded. They detected a stopped NodePort bridge, overlapping scale processes, HTTP connection reuse that pinned requests to one backend, and whole-second timestamp subtraction. The final runner uses a fail-fast bridge check, one isolated trial at a time, fresh bounded curl connections, Pod UID headers, and monotonic observation times.</w:t>
      </w:r>
    </w:p>
    <w:p>
      <w:pPr>
        <w:spacing w:before="80" w:after="160"/>
        <w:ind w:left="115" w:right="115"/>
        <w:shd w:fill="F4F6F9"/>
      </w:pPr>
      <w:r>
        <w:rPr>
          <w:rFonts w:ascii="Calibri" w:hAnsi="Calibri"/>
          <w:b/>
          <w:color w:val="7A5A00"/>
          <w:sz w:val="21"/>
        </w:rPr>
        <w:t xml:space="preserve">Scientific treatment: </w:t>
      </w:r>
      <w:r>
        <w:rPr>
          <w:rFonts w:ascii="Calibri" w:hAnsi="Calibri"/>
          <w:sz w:val="21"/>
        </w:rPr>
        <w:t>No failed pilot was silently deleted. Invalid or superseded runs remain preserved and are disclosed separately from the 30 main trials.</w:t>
      </w:r>
    </w:p>
    <w:p>
      <w:pPr>
        <w:pStyle w:val="Heading1"/>
      </w:pPr>
      <w:r>
        <w:t>6. Cached campaign results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Statistic</w:t>
            </w:r>
          </w:p>
        </w:tc>
        <w:tc>
          <w:tcPr>
            <w:tcW w:type="dxa" w:w="5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Overall effective serving delay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9"/>
              </w:rPr>
              <w:t>n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9"/>
              </w:rPr>
              <w:t>30 trials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9"/>
              </w:rPr>
              <w:t>Minimum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9"/>
              </w:rPr>
              <w:t>2.387 s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9"/>
              </w:rPr>
              <w:t>Median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9"/>
              </w:rPr>
              <w:t>3.569 s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9"/>
              </w:rPr>
              <w:t>P90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9"/>
              </w:rPr>
              <w:t>5.219 s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9"/>
              </w:rPr>
              <w:t>P95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9"/>
              </w:rPr>
              <w:t>6.514 s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9"/>
              </w:rPr>
              <w:t>Maximum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9"/>
              </w:rPr>
              <w:t>6.829 s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15874"/>
            <wp:docPr id="1" name="Picture 1" descr="Line chart comparing P95 readiness and effective-serving delay for scale increments of one, two, and three Pods against the selected nine-second horiz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rement_delay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15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Replica-increment comparison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100"/>
        <w:gridCol w:w="1500"/>
        <w:gridCol w:w="1500"/>
        <w:gridCol w:w="1500"/>
        <w:gridCol w:w="1660"/>
      </w:tblGrid>
      <w:tr>
        <w:trPr>
          <w:tblHeader w:val="true"/>
        </w:trPr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Scale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Metric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Median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P90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P95</w:t>
            </w:r>
          </w:p>
        </w:tc>
        <w:tc>
          <w:tcPr>
            <w:tcW w:type="dxa" w:w="1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Maximum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1→2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Ready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1.506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2.176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2.291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2.291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1→2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Effective service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2.755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3.242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3.248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3.248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1→3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Ready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1.868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2.257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2.270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2.270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1→3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Effective service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3.997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5.219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5.715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5.715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1→4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Ready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2.249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2.807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2.816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2.816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1→4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Effective service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4.274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6.514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6.829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6.829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Calibri" w:hAnsi="Calibri"/>
          <w:sz w:val="22"/>
        </w:rPr>
        <w:t>Readiness varied little across increments, but effective service increased as more Pods were added because the completion rule required every new backend to be sampled. This is operationally useful: a controller needs requested capacity to participate in traffic, not merely to have a Ready condition.</w:t>
      </w:r>
    </w:p>
    <w:p>
      <w:pPr>
        <w:pStyle w:val="Heading1"/>
      </w:pPr>
      <w:r>
        <w:t>8. Image cache comparison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All 60 new Pods in the cached campaign had matching “image already present” events and the expected image ID. A temporary local registry then supported a separate 0→1 treatment Deployment with the identical binary and runtime settings. Ten image-reference-absent registry-repull repetitions were retained; first-use rep00 was excluded.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00"/>
        <w:gridCol w:w="1500"/>
        <w:gridCol w:w="1500"/>
        <w:gridCol w:w="1700"/>
        <w:gridCol w:w="17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Treatment</w:t>
            </w:r>
          </w:p>
        </w:tc>
        <w:tc>
          <w:tcPr>
            <w:tcW w:type="dxa" w:w="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Median Ready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P95 Ready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Median service</w:t>
            </w:r>
          </w:p>
        </w:tc>
        <w:tc>
          <w:tcPr>
            <w:tcW w:type="dxa" w:w="1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P95 service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Pre-pulled +1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1.506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2.291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2.755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3.248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Registry repull +1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2.403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2.513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3.895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4.553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15874"/>
            <wp:docPr id="2" name="Picture 2" descr="Line chart comparing median and P95 readiness and effective-serving delays for pre-pulled and local-registry-repull image treatme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che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15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</w:pPr>
      <w:r>
        <w:rPr>
          <w:rFonts w:ascii="Calibri" w:hAnsi="Calibri"/>
          <w:sz w:val="22"/>
        </w:rPr>
        <w:t>Registry-repull P95 effective service was 1.305 seconds slower. Pull duration median was 1.236 seconds and P95/maximum was 1.310 seconds. The excluded first-use pilot reached 7.344 seconds Ready and 8.772 seconds effective service because pulling began roughly six seconds after scheduling.</w:t>
      </w:r>
    </w:p>
    <w:p>
      <w:pPr>
        <w:spacing w:before="80" w:after="160"/>
        <w:ind w:left="115" w:right="115"/>
        <w:shd w:fill="F4F6F9"/>
      </w:pPr>
      <w:r>
        <w:rPr>
          <w:rFonts w:ascii="Calibri" w:hAnsi="Calibri"/>
          <w:b/>
          <w:color w:val="166534"/>
          <w:sz w:val="21"/>
        </w:rPr>
        <w:t xml:space="preserve">Image decision: </w:t>
      </w:r>
      <w:r>
        <w:rPr>
          <w:rFonts w:ascii="Calibri" w:hAnsi="Calibri"/>
          <w:sz w:val="21"/>
        </w:rPr>
        <w:t>Pre-pull and verify the immutable image on every experiment worker. Keep IfNotPresent until the native-K3s distribution method is validated; do not introduce registry delay into the main treatment.</w:t>
      </w:r>
    </w:p>
    <w:p>
      <w:pPr>
        <w:pStyle w:val="Heading1"/>
      </w:pPr>
      <w:r>
        <w:t>9. Forecast-horizon calculation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The selected metric is trial-level effective serving delay, because it includes Kubernetes actuation plus observable Service participation by every requested new Pod. The predeclared rule is:</w:t>
      </w:r>
    </w:p>
    <w:p>
      <w:pPr>
        <w:spacing w:before="80" w:after="160"/>
        <w:ind w:left="115" w:right="115"/>
        <w:shd w:fill="F4F6F9"/>
      </w:pPr>
      <w:r>
        <w:rPr>
          <w:rFonts w:ascii="Calibri" w:hAnsi="Calibri"/>
          <w:b/>
          <w:color w:val="1F4D78"/>
          <w:sz w:val="21"/>
        </w:rPr>
        <w:t xml:space="preserve">Formula: </w:t>
      </w:r>
      <w:r>
        <w:rPr>
          <w:rFonts w:ascii="Calibri" w:hAnsi="Calibri"/>
          <w:sz w:val="21"/>
        </w:rPr>
        <w:t>H = ceil(P95 effective serving delay + max(2 seconds, 20% of P95)).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5960"/>
      </w:tblGrid>
      <w:tr>
        <w:trPr>
          <w:tblHeader w:val="true"/>
        </w:trPr>
        <w:tc>
          <w:tcPr>
            <w:tcW w:type="dxa" w:w="3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Term</w:t>
            </w:r>
          </w:p>
        </w:tc>
        <w:tc>
          <w:tcPr>
            <w:tcW w:type="dxa" w:w="5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Value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P95 effective serving delay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6.514 s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20% of P95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1.303 s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Minimum safety margin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2.000 s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Selected margin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2.000 s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Unrounded total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8.514 s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Final local horizon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20"/>
              </w:rPr>
              <w:t>9 seconds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Calibri" w:hAnsi="Calibri"/>
          <w:sz w:val="22"/>
        </w:rPr>
        <w:t>The slowest-increment 1→4 P95 is 6.829 seconds. With ten observations, nearest-rank P95 equals that increment’s maximum; adding two seconds still rounds to the same 9-second horizon. Therefore the decision is robust to using either the pooled operational distribution or the slowest supported increment.</w:t>
      </w:r>
    </w:p>
    <w:p>
      <w:pPr>
        <w:pStyle w:val="Heading1"/>
      </w:pPr>
      <w:r>
        <w:t>10. Principal findings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Finding</w:t>
            </w:r>
          </w:p>
        </w:tc>
        <w:tc>
          <w:tcPr>
            <w:tcW w:type="dxa" w:w="6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Interpretation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API acknowledgement is small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P95 scale API delay remained below 0.265 s.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Pods become Ready quickly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Cached P95 Ready was 2.29–2.82 s across increments.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Ready is not equivalent to serving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Last-backend sampling raised P95 service to 3.25–6.83 s.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Increment size matters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More new Pods require more backend observations and increase tail delay.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Image availability matters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Registry repull added 1.305 s to +1-Pod P95 service.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Nine seconds is conservative locally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It covers measured P95 plus the declared two-second margin.</w:t>
            </w:r>
          </w:p>
        </w:tc>
      </w:tr>
    </w:tbl>
    <w:p>
      <w:pPr>
        <w:spacing w:after="0"/>
      </w:pPr>
    </w:p>
    <w:p>
      <w:pPr>
        <w:pStyle w:val="Heading1"/>
      </w:pPr>
      <w:r>
        <w:t>11. Limitations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Limitation</w:t>
            </w:r>
          </w:p>
        </w:tc>
        <w:tc>
          <w:tcPr>
            <w:tcW w:type="dxa" w:w="6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Consequence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One physical laptop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All logical nodes share CPU, memory, cooling, WSL2, and Docker Desktop.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Local NodePort/socat bridge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First-service path differs from native K3s.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100 ms requested polling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kubectl and HTTP execution make first observation an upper bound.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Whole-second Kubernetes fields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Sub-second scheduler/startup components cannot be estimated precisely.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Harness decision marker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Not yet the real predictive controller’s computation delay.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Ten trials per increment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Nearest-rank per-increment P95 equals the maximum.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Registry repull treatment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May reuse containerd layer content; not a remote WAN cold pull.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Post-campaign cleanup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Containerd restarts occurred after measurement and do not affect retained windows.</w:t>
            </w:r>
          </w:p>
        </w:tc>
      </w:tr>
    </w:tbl>
    <w:p>
      <w:pPr>
        <w:spacing w:after="0"/>
      </w:pPr>
    </w:p>
    <w:p>
      <w:pPr>
        <w:pStyle w:val="Heading1"/>
      </w:pPr>
      <w:r>
        <w:t>12. Corrections and exclusions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900"/>
        <w:gridCol w:w="52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6"/>
              </w:rPr>
              <w:t>Event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6"/>
              </w:rPr>
              <w:t>Classification</w:t>
            </w:r>
          </w:p>
        </w:tc>
        <w:tc>
          <w:tcPr>
            <w:tcW w:type="dxa" w:w="5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6"/>
              </w:rPr>
              <w:t>Treatment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Bridge stopped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Invalid pilot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Fail-fast preflight added; excluded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Overlapping runners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Invalid pilot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Serial campaign enforced; excluded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Persistent HTTP connection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Biased pilot method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Replaced with bounded fresh curl connections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Negative API-derived creation value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Resolution artifact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Monotonic first-observation used for totals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Registry rep00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First-use pilot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Disclosed separately; excluded from ten-repetition distribution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Progress-array error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Automation bookkeeping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Two valid trial artifacts preserved; campaign resumed at rep03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Image cleanup/reload issue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Post-experiment operations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No retained measurement changed; frozen source policy restored</w:t>
            </w:r>
          </w:p>
        </w:tc>
      </w:tr>
    </w:tbl>
    <w:p>
      <w:pPr>
        <w:spacing w:after="0"/>
      </w:pPr>
    </w:p>
    <w:p>
      <w:pPr>
        <w:pStyle w:val="Heading1"/>
      </w:pPr>
      <w:r>
        <w:t>13. Reproducibility artifacts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Artifact</w:t>
            </w:r>
          </w:p>
        </w:tc>
        <w:tc>
          <w:tcPr>
            <w:tcW w:type="dxa" w:w="6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Purpose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STEP6.md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Protocol, timestamp model, rules, and decisions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step6/experiment-config.json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Machine-readable campaign configuration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scripts/run-step6-actuation.ps1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Single cached scale-up collector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scripts/run-step6-campaign.ps1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Rotated 30-trial campaign driver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scripts/run-step6-cold-trial.ps1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Registry-repull treatment collector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tools/analyze_step6.py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Nearest-rank aggregation and horizon calculation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step6/runs/*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Immutable raw trial directories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step6/report/cached/*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Cached normalized datasets and distributions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step6/report/registry-repull/*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Repull normalized datasets and distributions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step6/report/step6-final-result.json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Final machine-readable decision</w:t>
            </w:r>
          </w:p>
        </w:tc>
      </w:tr>
    </w:tbl>
    <w:p>
      <w:pPr>
        <w:spacing w:after="0"/>
      </w:pPr>
    </w:p>
    <w:p>
      <w:pPr>
        <w:pStyle w:val="Heading1"/>
      </w:pPr>
      <w:r>
        <w:t>14. Completion assessment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0"/>
        <w:gridCol w:w="2860"/>
      </w:tblGrid>
      <w:tr>
        <w:trPr>
          <w:tblHeader w:val="true"/>
        </w:trPr>
        <w:tc>
          <w:tcPr>
            <w:tcW w:type="dxa" w:w="6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Completion criterion</w:t>
            </w:r>
          </w:p>
        </w:tc>
        <w:tc>
          <w:tcPr>
            <w:tcW w:type="dxa" w:w="2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Status</w:t>
            </w:r>
          </w:p>
        </w:tc>
      </w:tr>
      <w:t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Readiness delay measured, not assumed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COMPLETE</w:t>
            </w:r>
          </w:p>
        </w:tc>
      </w:tr>
      <w:t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Lifecycle timestamps preserved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COMPLETE</w:t>
            </w:r>
          </w:p>
        </w:tc>
      </w:tr>
      <w:t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Multiple increments repeated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COMPLETE - 10 each</w:t>
            </w:r>
          </w:p>
        </w:tc>
      </w:tr>
      <w:t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Median/P90/P95/maximum reported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COMPLETE</w:t>
            </w:r>
          </w:p>
        </w:tc>
      </w:tr>
      <w:t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First-service delay measured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COMPLETE</w:t>
            </w:r>
          </w:p>
        </w:tc>
      </w:tr>
      <w:t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Image-cache behaviour evaluated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COMPLETE</w:t>
            </w:r>
          </w:p>
        </w:tc>
      </w:tr>
      <w:t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Pre-pull decision documented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COMPLETE</w:t>
            </w:r>
          </w:p>
        </w:tc>
      </w:tr>
      <w:t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Forecast horizon tied to evidence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COMPLETE - 9 s local</w:t>
            </w:r>
          </w:p>
        </w:tc>
      </w:tr>
      <w:t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Native-K3s calibration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REQUIRED BEFORE MAIN CAMPAIGN</w:t>
            </w:r>
          </w:p>
        </w:tc>
      </w:tr>
    </w:tbl>
    <w:p>
      <w:pPr>
        <w:spacing w:after="0"/>
      </w:pPr>
    </w:p>
    <w:p>
      <w:pPr>
        <w:pStyle w:val="Heading1"/>
      </w:pPr>
      <w:r>
        <w:t>Appendix A. Detailed cached delay distributions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3100"/>
        <w:gridCol w:w="700"/>
        <w:gridCol w:w="1200"/>
        <w:gridCol w:w="1200"/>
        <w:gridCol w:w="1200"/>
        <w:gridCol w:w="1260"/>
      </w:tblGrid>
      <w:tr>
        <w:trPr>
          <w:tblHeader w:val="true"/>
        </w:trPr>
        <w:tc>
          <w:tcPr>
            <w:tcW w:type="dxa" w:w="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5"/>
              </w:rPr>
              <w:t>+Pods</w:t>
            </w:r>
          </w:p>
        </w:tc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5"/>
              </w:rPr>
              <w:t>Metric</w:t>
            </w:r>
          </w:p>
        </w:tc>
        <w:tc>
          <w:tcPr>
            <w:tcW w:type="dxa" w:w="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5"/>
              </w:rPr>
              <w:t>n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5"/>
              </w:rPr>
              <w:t>Median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5"/>
              </w:rPr>
              <w:t>P90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5"/>
              </w:rPr>
              <w:t>P95</w:t>
            </w:r>
          </w:p>
        </w:tc>
        <w:tc>
          <w:tcPr>
            <w:tcW w:type="dxa" w:w="1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5"/>
              </w:rPr>
              <w:t>Max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decision_delay_s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0.002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0.003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0.003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deployment_api_delay_s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0.156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0.213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0.265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0.265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trial_readiness_delay_s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1.506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2.176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2.291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2.291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trial_effective_serving_delay_s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2.755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3.242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3.248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3.248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per_pod_creation_delay_s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0.355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0.456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0.510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0.510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per_pod_scheduling_delay_s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0.000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0.000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per_pod_startup_delay_s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1.000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1.000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1.000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1.000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per_pod_container_to_ready_s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0.000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0.000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2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decision_delay_s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0.001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0.003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0.003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2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deployment_api_delay_s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0.154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0.189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0.201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0.201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2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trial_readiness_delay_s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1.868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2.257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2.270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2.270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2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trial_effective_serving_delay_s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3.997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5.219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5.715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5.715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2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per_pod_creation_delay_s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0.378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0.480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0.483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0.486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2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per_pod_scheduling_delay_s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0.000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0.000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2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per_pod_startup_delay_s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1.000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1.000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1.000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1.000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2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per_pod_container_to_ready_s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1.000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1.000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1.000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3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decision_delay_s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0.001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0.003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0.003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3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deployment_api_delay_s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0.156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0.165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0.184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0.184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3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trial_readiness_delay_s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2.249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2.807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2.816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2.816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3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trial_effective_serving_delay_s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4.274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6.514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6.829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6.829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3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per_pod_creation_delay_s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30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0.386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0.446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0.496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0.498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3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per_pod_scheduling_delay_s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30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0.000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0.000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3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per_pod_startup_delay_s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30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1.000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1.000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3.000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3.000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3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per_pod_container_to_ready_s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30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0.000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1.000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1.000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1.000</w:t>
            </w:r>
          </w:p>
        </w:tc>
      </w:tr>
    </w:tbl>
    <w:p>
      <w:pPr>
        <w:spacing w:after="0"/>
      </w:pPr>
    </w:p>
    <w:p>
      <w:pPr>
        <w:pStyle w:val="Heading1"/>
      </w:pPr>
      <w:r>
        <w:t>Appendix B. Final handoff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For the local kind environment, forecasts must provide expected workload at least 9 seconds ahead of the arrival time. The controller converts that workload into the empirical Step 5 replica requirement, requests replicas at or before the horizon boundary, and verifies that the required Pods become Ready and serve before traffic arrives. The final native-K3s campaign must repeat Step 5 capacity profiling and Step 6 delay profiling; its values supersede the local constants.</w:t>
      </w:r>
    </w:p>
    <w:p>
      <w:pPr>
        <w:spacing w:before="80" w:after="160"/>
        <w:ind w:left="115" w:right="115"/>
        <w:shd w:fill="F4F6F9"/>
      </w:pPr>
      <w:r>
        <w:rPr>
          <w:rFonts w:ascii="Calibri" w:hAnsi="Calibri"/>
          <w:b/>
          <w:color w:val="166534"/>
          <w:sz w:val="21"/>
        </w:rPr>
        <w:t xml:space="preserve">Final local constants: </w:t>
      </w:r>
      <w:r>
        <w:rPr>
          <w:rFonts w:ascii="Calibri" w:hAnsi="Calibri"/>
          <w:sz w:val="21"/>
        </w:rPr>
        <w:t>Cpod=45 RPS; empirical capacities C1=45, C2=90, C3=105, C4=130 RPS; forecast horizon H=9 seconds; immutable image pre-pulled on every worker.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6370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A6370"/>
        <w:sz w:val="18"/>
      </w:rPr>
      <w:t>ANFA Research | Step 6 Capacity Actuation Delay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