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ageBreakBefore/>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$180.000.000 equivalente al 50% del crédito, y HAWER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