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$180.000.000 equivalente al 50% del crédito, y HAWER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