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fecha_firma }}</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monto_total_texto }}</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 tasa_texto }}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 plazo_texto }}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matricula_inmobiliaria }}</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direccion_inmueble }}</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 deudor_nombre }}</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 deudor_cc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 deudor_estado_civil }}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 deudor_direccion }}</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deudor_email }}</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deudor_telefono }}</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 acr1_nombre }}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 acr1_cc }}</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 acr1_estado_civil }}</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 acr1_direccion }}</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acr1_email }}</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 acr1_telefono }}</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acr2_nombre }}</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 acr2_cc }}</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 acr2_estado_civil }}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 acr2_direccion }}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 xml:space="preserve">{{ acr2_email }}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acr2_telefono }}</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monto_total_texto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 tasa_texto }}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plazo_meses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 cuota_mensual_texto }}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 monto_inicial_texto }}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 monto_restante_texto }}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 acr1_nombre }}</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 acr1_cuenta }}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acr2_nombre }}</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acr2_cuenta }}</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81435590"/>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 texto_participacion_acreedores }},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deudor_nombre }}</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deudor_cc }}</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 acr1_nombre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acr1_cc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 acr2_nombre }}</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C.C. No. {{ acr2_cc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 acr1_nombre }}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acr1_cc }},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 fecha_firma_lower }},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 acr1_nombre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acr1_cc }},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 fecha_firma_lower }}.</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 acr2_nombre }}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acr2_cc }},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 fecha_firma_lower }},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 deudor_nombre }}</w:t>
      </w:r>
      <w:r w:rsidDel="00000000" w:rsidR="00000000" w:rsidRPr="00000000">
        <w:rPr>
          <w:rtl w:val="0"/>
        </w:rPr>
        <w:t>, mayor de edad y vecino/a del municipio de {{ deudor_municipio }},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 acr2_nombre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acr2_cc }},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 fecha_firma_lower }}.</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 deudor_nombre }}</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C.C. No. {{ deudor_cc }}</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monto_total_mcte }}</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1.1. Por instrucciones del DEUDOR, la suma de {{ comision_aluri_mcte }} serán entregados a ALURI S.A.S., sociedad con NIT. 901.942.240 - 1 por concepto de servicios de tecnología y software.</w:t>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 cuota_anticipada_texto }}.</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monto_total_pesos }}</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 monto_inicial_pesos }}</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 comision_aluri_pesos }}</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cuota_mensual_pesos }}</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 deudor_nombre }}</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deudor_cc }}</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