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$90.000.000 equivalente al 50% del crédito, y HAWER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ageBreakBefore/>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