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con una participación de $90.000.000 equivalente al 50% del crédito, y HAWER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w:t>
            </w:r>
          </w:p>
          <w:p>
            <w:pPr>
              <w:spacing w:after="0" w:before="0" w:line="240" w:lineRule="auto"/>
            </w:pPr>
            <w:r>
              <w:rPr>
                <w:b/>
              </w:rPr>
              <w:t xml:space="preserve">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