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88E5" w14:textId="40DAFC19" w:rsidR="009058F8" w:rsidRDefault="00705B5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Anna Fesiuk</w:t>
      </w:r>
    </w:p>
    <w:p w14:paraId="2C0631CF" w14:textId="4F797112" w:rsidR="00006E4B" w:rsidRPr="00006E4B" w:rsidRDefault="00006E4B" w:rsidP="00E018EF">
      <w:pPr>
        <w:spacing w:line="276" w:lineRule="auto"/>
        <w:jc w:val="both"/>
        <w:rPr>
          <w:rFonts w:ascii="Arial" w:hAnsi="Arial" w:cs="Arial"/>
          <w:bCs/>
          <w:i/>
          <w:iCs/>
          <w:color w:val="000000" w:themeColor="text1"/>
          <w:sz w:val="25"/>
          <w:szCs w:val="25"/>
          <w:lang w:val="en-US"/>
        </w:rPr>
      </w:pPr>
      <w:r w:rsidRPr="00006E4B">
        <w:rPr>
          <w:rFonts w:ascii="Arial" w:hAnsi="Arial" w:cs="Arial"/>
          <w:bCs/>
          <w:i/>
          <w:iCs/>
          <w:color w:val="000000" w:themeColor="text1"/>
          <w:sz w:val="25"/>
          <w:szCs w:val="25"/>
          <w:lang w:val="en-US"/>
        </w:rPr>
        <w:t>Example of analyzing the stock</w:t>
      </w:r>
    </w:p>
    <w:p w14:paraId="1AF4E5D4" w14:textId="77777777" w:rsidR="00E018EF" w:rsidRPr="00E018EF" w:rsidRDefault="00E018EF" w:rsidP="00E018EF">
      <w:pPr>
        <w:spacing w:line="276" w:lineRule="auto"/>
        <w:jc w:val="both"/>
        <w:rPr>
          <w:rFonts w:ascii="Arial" w:hAnsi="Arial" w:cs="Arial"/>
          <w:bCs/>
          <w:color w:val="000000" w:themeColor="text1"/>
          <w:sz w:val="25"/>
          <w:szCs w:val="25"/>
        </w:rPr>
      </w:pPr>
    </w:p>
    <w:p w14:paraId="3F34E0A2" w14:textId="2C5A53D8" w:rsidR="00705B54" w:rsidRPr="00E018EF" w:rsidRDefault="00E018EF" w:rsidP="00E018EF">
      <w:pPr>
        <w:spacing w:line="276" w:lineRule="auto"/>
        <w:jc w:val="both"/>
        <w:rPr>
          <w:rFonts w:ascii="Arial" w:eastAsia="Wingdings" w:hAnsi="Arial" w:cs="Arial"/>
          <w:b/>
          <w:color w:val="000000" w:themeColor="text1"/>
          <w:w w:val="85"/>
          <w:sz w:val="25"/>
          <w:szCs w:val="25"/>
          <w:lang w:val="en-US"/>
        </w:rPr>
      </w:pPr>
      <w:r w:rsidRPr="00E018EF">
        <w:rPr>
          <w:rFonts w:ascii="Arial" w:eastAsia="Wingdings" w:hAnsi="Arial" w:cs="Arial"/>
          <w:b/>
          <w:color w:val="000000" w:themeColor="text1"/>
          <w:w w:val="85"/>
          <w:sz w:val="25"/>
          <w:szCs w:val="25"/>
          <w:lang w:val="en-US"/>
        </w:rPr>
        <w:t xml:space="preserve">1.About company. </w:t>
      </w:r>
    </w:p>
    <w:p w14:paraId="3839F55A" w14:textId="77777777" w:rsidR="00384794" w:rsidRPr="00E018EF" w:rsidRDefault="00705B54" w:rsidP="00E018EF">
      <w:pPr>
        <w:spacing w:line="276" w:lineRule="auto"/>
        <w:jc w:val="both"/>
        <w:rPr>
          <w:rFonts w:ascii="Arial" w:hAnsi="Arial" w:cs="Arial"/>
          <w:bCs/>
          <w:color w:val="000000" w:themeColor="text1"/>
          <w:sz w:val="25"/>
          <w:szCs w:val="25"/>
        </w:rPr>
      </w:pPr>
      <w:r w:rsidRPr="00E018EF">
        <w:rPr>
          <w:rFonts w:ascii="Arial" w:eastAsia="Wingdings" w:hAnsi="Arial" w:cs="Arial"/>
          <w:bCs/>
          <w:color w:val="000000" w:themeColor="text1"/>
          <w:w w:val="85"/>
          <w:sz w:val="25"/>
          <w:szCs w:val="25"/>
        </w:rPr>
        <w:t xml:space="preserve">I choose </w:t>
      </w:r>
      <w:r w:rsidRPr="00E018EF">
        <w:rPr>
          <w:rFonts w:ascii="Arial" w:hAnsi="Arial" w:cs="Arial"/>
          <w:bCs/>
          <w:color w:val="000000" w:themeColor="text1"/>
          <w:sz w:val="25"/>
          <w:szCs w:val="25"/>
        </w:rPr>
        <w:t xml:space="preserve">American Tower Corporation for analyze as I am interested in the position of the real estate market right now. American Tower Corporation is a publicly traded real estate investment trust (REIT) that specializes in owning, leasing, and managing communications sites. American Tower owns and operates over 186,000 communications sites in more than 20 countries around the world. The company's primary source of revenue comes from leasing space on its communications sites to its customers. American Tower has long-term contracts with most of its customers, providing a stable source of income for the company. American Tower has a strong track record of financial performance, with steady revenue and earnings growth over the years. Now about the financial position of the company. </w:t>
      </w:r>
      <w:r w:rsidRPr="00E018EF">
        <w:rPr>
          <w:rFonts w:ascii="Arial" w:hAnsi="Arial" w:cs="Arial"/>
          <w:bCs/>
          <w:color w:val="000000" w:themeColor="text1"/>
          <w:sz w:val="25"/>
          <w:szCs w:val="25"/>
          <w:lang w:val="en-US"/>
        </w:rPr>
        <w:t>I</w:t>
      </w:r>
      <w:r w:rsidRPr="00E018EF">
        <w:rPr>
          <w:rFonts w:ascii="Arial" w:hAnsi="Arial" w:cs="Arial"/>
          <w:bCs/>
          <w:color w:val="000000" w:themeColor="text1"/>
          <w:sz w:val="25"/>
          <w:szCs w:val="25"/>
        </w:rPr>
        <w:t>n the fiscal year ending in 2022, the company generated a total revenue of US$10.7 billion, representing a 14% increase from the previous year.</w:t>
      </w:r>
    </w:p>
    <w:p w14:paraId="27D1B536" w14:textId="6F15F3E1" w:rsidR="00705B54" w:rsidRPr="00E018EF" w:rsidRDefault="00705B54" w:rsidP="00E018EF">
      <w:pPr>
        <w:spacing w:line="276" w:lineRule="auto"/>
        <w:jc w:val="both"/>
        <w:rPr>
          <w:rFonts w:ascii="Arial" w:hAnsi="Arial" w:cs="Arial"/>
          <w:bCs/>
          <w:color w:val="000000" w:themeColor="text1"/>
          <w:sz w:val="25"/>
          <w:szCs w:val="25"/>
          <w:lang w:val="en-US"/>
        </w:rPr>
      </w:pPr>
      <w:r w:rsidRPr="00E018EF">
        <w:rPr>
          <w:rFonts w:ascii="Arial" w:hAnsi="Arial" w:cs="Arial"/>
          <w:bCs/>
          <w:color w:val="000000" w:themeColor="text1"/>
          <w:sz w:val="25"/>
          <w:szCs w:val="25"/>
        </w:rPr>
        <w:t xml:space="preserve"> However, the company's net income for the year was US$1.77 billion, which was down 31% from the previous year's figure. This decline in net income was likely due to higher expenses incurred by the company in the year.</w:t>
      </w:r>
      <w:r w:rsidRPr="00705B54">
        <w:rPr>
          <w:rFonts w:ascii="Arial" w:hAnsi="Arial" w:cs="Arial"/>
          <w:bCs/>
          <w:color w:val="000000" w:themeColor="text1"/>
          <w:sz w:val="25"/>
          <w:szCs w:val="25"/>
        </w:rPr>
        <w:t>The profit margin for the year was 17%, which is a significant decrease from the 27% profit margin recorded in the previous year. This decline in profit margin can be attributed to the higher expenses incurred by the company, which likely impacted its ability to generate a higher profit margin.</w:t>
      </w:r>
      <w:r w:rsidRPr="00E018EF">
        <w:rPr>
          <w:rFonts w:ascii="Arial" w:hAnsi="Arial" w:cs="Arial"/>
          <w:bCs/>
          <w:color w:val="000000" w:themeColor="text1"/>
          <w:sz w:val="25"/>
          <w:szCs w:val="25"/>
          <w:lang w:val="en-US"/>
        </w:rPr>
        <w:t xml:space="preserve"> </w:t>
      </w:r>
      <w:r w:rsidRPr="00705B54">
        <w:rPr>
          <w:rFonts w:ascii="Arial" w:hAnsi="Arial" w:cs="Arial"/>
          <w:bCs/>
          <w:color w:val="000000" w:themeColor="text1"/>
          <w:sz w:val="25"/>
          <w:szCs w:val="25"/>
        </w:rPr>
        <w:t>Furthermore, the company's earnings per share (EPS) for the year were US$3.83, which is a decrease from the US$5.69 EPS recorded in</w:t>
      </w:r>
      <w:r w:rsidRPr="00E018EF">
        <w:rPr>
          <w:rFonts w:ascii="Arial" w:hAnsi="Arial" w:cs="Arial"/>
          <w:bCs/>
          <w:color w:val="000000" w:themeColor="text1"/>
          <w:sz w:val="25"/>
          <w:szCs w:val="25"/>
        </w:rPr>
        <w:t xml:space="preserve"> the previous year. </w:t>
      </w:r>
    </w:p>
    <w:p w14:paraId="1A5AB865" w14:textId="77777777"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p>
    <w:p w14:paraId="343EC2C1" w14:textId="35C3126E" w:rsidR="009058F8" w:rsidRPr="00E018EF" w:rsidRDefault="00705B54" w:rsidP="00E018EF">
      <w:pPr>
        <w:shd w:val="clear" w:color="auto" w:fill="FFFFFF"/>
        <w:spacing w:line="276" w:lineRule="auto"/>
        <w:jc w:val="both"/>
        <w:rPr>
          <w:rFonts w:ascii="Arial" w:eastAsia="Wingdings" w:hAnsi="Arial" w:cs="Arial"/>
          <w:b/>
          <w:color w:val="000000" w:themeColor="text1"/>
          <w:w w:val="85"/>
          <w:sz w:val="25"/>
          <w:szCs w:val="25"/>
          <w:lang w:val="en-US"/>
        </w:rPr>
      </w:pPr>
      <w:r w:rsidRPr="00E018EF">
        <w:rPr>
          <w:rFonts w:ascii="Arial" w:eastAsia="Wingdings" w:hAnsi="Arial" w:cs="Arial"/>
          <w:b/>
          <w:color w:val="000000" w:themeColor="text1"/>
          <w:w w:val="85"/>
          <w:sz w:val="25"/>
          <w:szCs w:val="25"/>
          <w:lang w:val="en-US"/>
        </w:rPr>
        <w:t>2</w:t>
      </w:r>
      <w:r w:rsidRPr="00E018EF">
        <w:rPr>
          <w:rFonts w:ascii="Arial" w:eastAsia="Wingdings" w:hAnsi="Arial" w:cs="Arial"/>
          <w:b/>
          <w:color w:val="000000" w:themeColor="text1"/>
          <w:w w:val="85"/>
          <w:sz w:val="25"/>
          <w:szCs w:val="25"/>
        </w:rPr>
        <w:t xml:space="preserve">. Interpretation </w:t>
      </w:r>
      <w:proofErr w:type="gramStart"/>
      <w:r w:rsidRPr="00E018EF">
        <w:rPr>
          <w:rFonts w:ascii="Arial" w:eastAsia="Wingdings" w:hAnsi="Arial" w:cs="Arial"/>
          <w:b/>
          <w:color w:val="000000" w:themeColor="text1"/>
          <w:w w:val="85"/>
          <w:sz w:val="25"/>
          <w:szCs w:val="25"/>
        </w:rPr>
        <w:t xml:space="preserve">of  </w:t>
      </w:r>
      <w:r w:rsidR="009058F8" w:rsidRPr="00E018EF">
        <w:rPr>
          <w:rFonts w:ascii="Arial" w:eastAsia="Wingdings" w:hAnsi="Arial" w:cs="Arial"/>
          <w:b/>
          <w:color w:val="000000" w:themeColor="text1"/>
          <w:w w:val="85"/>
          <w:sz w:val="25"/>
          <w:szCs w:val="25"/>
        </w:rPr>
        <w:t>min</w:t>
      </w:r>
      <w:proofErr w:type="gramEnd"/>
      <w:r w:rsidR="009058F8" w:rsidRPr="00E018EF">
        <w:rPr>
          <w:rFonts w:ascii="Arial" w:eastAsia="Wingdings" w:hAnsi="Arial" w:cs="Arial"/>
          <w:b/>
          <w:color w:val="000000" w:themeColor="text1"/>
          <w:w w:val="85"/>
          <w:sz w:val="25"/>
          <w:szCs w:val="25"/>
        </w:rPr>
        <w:t>, max and range</w:t>
      </w:r>
      <w:r w:rsidR="00E018EF" w:rsidRPr="00E018EF">
        <w:rPr>
          <w:rFonts w:ascii="Arial" w:eastAsia="Wingdings" w:hAnsi="Arial" w:cs="Arial"/>
          <w:b/>
          <w:color w:val="000000" w:themeColor="text1"/>
          <w:w w:val="85"/>
          <w:sz w:val="25"/>
          <w:szCs w:val="25"/>
          <w:lang w:val="en-US"/>
        </w:rPr>
        <w:t>.</w:t>
      </w:r>
    </w:p>
    <w:p w14:paraId="0AD834A7" w14:textId="0631117F"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lang w:val="en-US"/>
        </w:rPr>
      </w:pPr>
      <w:r w:rsidRPr="00E018EF">
        <w:rPr>
          <w:rFonts w:ascii="Arial" w:eastAsia="Wingdings" w:hAnsi="Arial" w:cs="Arial"/>
          <w:bCs/>
          <w:color w:val="000000" w:themeColor="text1"/>
          <w:w w:val="85"/>
          <w:sz w:val="25"/>
          <w:szCs w:val="25"/>
        </w:rPr>
        <w:t>Min shows the worst day in two years for the company.  ATC lost -6,65% per one day. So, investors should be ready to face with similar amount of investment if the have a long term strategy. The best day  is when the price of the share increased by 9,42%. The difference between the best and the worst day is 16,07.</w:t>
      </w:r>
    </w:p>
    <w:tbl>
      <w:tblPr>
        <w:tblW w:w="3900" w:type="dxa"/>
        <w:tblLook w:val="04A0" w:firstRow="1" w:lastRow="0" w:firstColumn="1" w:lastColumn="0" w:noHBand="0" w:noVBand="1"/>
      </w:tblPr>
      <w:tblGrid>
        <w:gridCol w:w="2360"/>
        <w:gridCol w:w="1540"/>
      </w:tblGrid>
      <w:tr w:rsidR="00384794" w:rsidRPr="00E018EF" w14:paraId="2D8E6FB2" w14:textId="77777777" w:rsidTr="00705B54">
        <w:trPr>
          <w:trHeight w:val="32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79C74"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min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11A0069" w14:textId="11A05112" w:rsidR="00705B54" w:rsidRPr="00705B54" w:rsidRDefault="00705B54" w:rsidP="00E018EF">
            <w:pPr>
              <w:spacing w:line="276" w:lineRule="auto"/>
              <w:jc w:val="both"/>
              <w:rPr>
                <w:rFonts w:ascii="Arial" w:hAnsi="Arial" w:cs="Arial"/>
                <w:bCs/>
                <w:color w:val="000000" w:themeColor="text1"/>
                <w:sz w:val="25"/>
                <w:szCs w:val="25"/>
                <w:lang w:val="en-US"/>
              </w:rPr>
            </w:pPr>
            <w:r w:rsidRPr="00705B54">
              <w:rPr>
                <w:rFonts w:ascii="Arial" w:hAnsi="Arial" w:cs="Arial"/>
                <w:bCs/>
                <w:color w:val="000000" w:themeColor="text1"/>
                <w:sz w:val="25"/>
                <w:szCs w:val="25"/>
              </w:rPr>
              <w:t>-6,65</w:t>
            </w:r>
            <w:r w:rsidRPr="00E018EF">
              <w:rPr>
                <w:rFonts w:ascii="Arial" w:hAnsi="Arial" w:cs="Arial"/>
                <w:bCs/>
                <w:color w:val="000000" w:themeColor="text1"/>
                <w:sz w:val="25"/>
                <w:szCs w:val="25"/>
              </w:rPr>
              <w:t xml:space="preserve"> %</w:t>
            </w:r>
          </w:p>
        </w:tc>
      </w:tr>
      <w:tr w:rsidR="00384794" w:rsidRPr="00E018EF" w14:paraId="7882F1E8"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4C5FD84E"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max</w:t>
            </w:r>
          </w:p>
        </w:tc>
        <w:tc>
          <w:tcPr>
            <w:tcW w:w="1540" w:type="dxa"/>
            <w:tcBorders>
              <w:top w:val="nil"/>
              <w:left w:val="nil"/>
              <w:bottom w:val="single" w:sz="4" w:space="0" w:color="auto"/>
              <w:right w:val="single" w:sz="4" w:space="0" w:color="auto"/>
            </w:tcBorders>
            <w:shd w:val="clear" w:color="auto" w:fill="auto"/>
            <w:noWrap/>
            <w:vAlign w:val="bottom"/>
            <w:hideMark/>
          </w:tcPr>
          <w:p w14:paraId="13F9FD9B" w14:textId="5DD74B32" w:rsidR="00705B54" w:rsidRPr="00705B54" w:rsidRDefault="00705B54" w:rsidP="00E018EF">
            <w:pPr>
              <w:spacing w:line="276" w:lineRule="auto"/>
              <w:jc w:val="both"/>
              <w:rPr>
                <w:rFonts w:ascii="Arial" w:hAnsi="Arial" w:cs="Arial"/>
                <w:bCs/>
                <w:color w:val="000000" w:themeColor="text1"/>
                <w:sz w:val="25"/>
                <w:szCs w:val="25"/>
                <w:lang w:val="en-US"/>
              </w:rPr>
            </w:pPr>
            <w:r w:rsidRPr="00705B54">
              <w:rPr>
                <w:rFonts w:ascii="Arial" w:hAnsi="Arial" w:cs="Arial"/>
                <w:bCs/>
                <w:color w:val="000000" w:themeColor="text1"/>
                <w:sz w:val="25"/>
                <w:szCs w:val="25"/>
              </w:rPr>
              <w:t>9,42</w:t>
            </w:r>
            <w:r w:rsidRPr="00E018EF">
              <w:rPr>
                <w:rFonts w:ascii="Arial" w:hAnsi="Arial" w:cs="Arial"/>
                <w:bCs/>
                <w:color w:val="000000" w:themeColor="text1"/>
                <w:sz w:val="25"/>
                <w:szCs w:val="25"/>
              </w:rPr>
              <w:t xml:space="preserve"> %</w:t>
            </w:r>
          </w:p>
        </w:tc>
      </w:tr>
      <w:tr w:rsidR="00384794" w:rsidRPr="00E018EF" w14:paraId="061CDEEE"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2873FE0"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range</w:t>
            </w:r>
          </w:p>
        </w:tc>
        <w:tc>
          <w:tcPr>
            <w:tcW w:w="1540" w:type="dxa"/>
            <w:tcBorders>
              <w:top w:val="nil"/>
              <w:left w:val="nil"/>
              <w:bottom w:val="single" w:sz="4" w:space="0" w:color="auto"/>
              <w:right w:val="single" w:sz="4" w:space="0" w:color="auto"/>
            </w:tcBorders>
            <w:shd w:val="clear" w:color="auto" w:fill="auto"/>
            <w:noWrap/>
            <w:vAlign w:val="bottom"/>
            <w:hideMark/>
          </w:tcPr>
          <w:p w14:paraId="29AA521D"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16,07</w:t>
            </w:r>
          </w:p>
        </w:tc>
      </w:tr>
    </w:tbl>
    <w:p w14:paraId="1EE36841" w14:textId="4021BE52"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p>
    <w:p w14:paraId="698F347E" w14:textId="35DDA469"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rPr>
      </w:pPr>
    </w:p>
    <w:p w14:paraId="12F9136F" w14:textId="786B4125"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rPr>
      </w:pPr>
    </w:p>
    <w:p w14:paraId="45AF0EA5" w14:textId="67D1A07D"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rPr>
      </w:pPr>
    </w:p>
    <w:p w14:paraId="7006BF5D"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rPr>
      </w:pPr>
    </w:p>
    <w:p w14:paraId="66C23948" w14:textId="04C3B1E8" w:rsidR="009058F8" w:rsidRPr="00E018EF" w:rsidRDefault="00705B54" w:rsidP="00E018EF">
      <w:pPr>
        <w:shd w:val="clear" w:color="auto" w:fill="FFFFFF"/>
        <w:spacing w:line="276" w:lineRule="auto"/>
        <w:jc w:val="both"/>
        <w:rPr>
          <w:rFonts w:ascii="Arial" w:eastAsia="Wingdings" w:hAnsi="Arial" w:cs="Arial"/>
          <w:b/>
          <w:color w:val="000000" w:themeColor="text1"/>
          <w:w w:val="85"/>
          <w:sz w:val="25"/>
          <w:szCs w:val="25"/>
        </w:rPr>
      </w:pPr>
      <w:r w:rsidRPr="00E018EF">
        <w:rPr>
          <w:rFonts w:ascii="Arial" w:eastAsia="Wingdings" w:hAnsi="Arial" w:cs="Arial"/>
          <w:b/>
          <w:color w:val="000000" w:themeColor="text1"/>
          <w:w w:val="85"/>
          <w:sz w:val="25"/>
          <w:szCs w:val="25"/>
          <w:lang w:val="en-US"/>
        </w:rPr>
        <w:t>3</w:t>
      </w:r>
      <w:r w:rsidRPr="00E018EF">
        <w:rPr>
          <w:rFonts w:ascii="Arial" w:eastAsia="Wingdings" w:hAnsi="Arial" w:cs="Arial"/>
          <w:b/>
          <w:color w:val="000000" w:themeColor="text1"/>
          <w:w w:val="85"/>
          <w:sz w:val="25"/>
          <w:szCs w:val="25"/>
        </w:rPr>
        <w:t xml:space="preserve">. </w:t>
      </w:r>
      <w:r w:rsidR="009058F8" w:rsidRPr="00E018EF">
        <w:rPr>
          <w:rFonts w:ascii="Arial" w:eastAsia="Wingdings" w:hAnsi="Arial" w:cs="Arial"/>
          <w:b/>
          <w:color w:val="000000" w:themeColor="text1"/>
          <w:w w:val="85"/>
          <w:sz w:val="25"/>
          <w:szCs w:val="25"/>
        </w:rPr>
        <w:t>Plot histogram</w:t>
      </w:r>
      <w:r w:rsidRPr="00E018EF">
        <w:rPr>
          <w:rFonts w:ascii="Arial" w:eastAsia="Wingdings" w:hAnsi="Arial" w:cs="Arial"/>
          <w:b/>
          <w:color w:val="000000" w:themeColor="text1"/>
          <w:w w:val="85"/>
          <w:sz w:val="25"/>
          <w:szCs w:val="25"/>
        </w:rPr>
        <w:t xml:space="preserve">. </w:t>
      </w:r>
    </w:p>
    <w:p w14:paraId="71A013C6" w14:textId="0CD9B57B" w:rsidR="00705B54" w:rsidRPr="00E018EF" w:rsidRDefault="00705B54" w:rsidP="00E018EF">
      <w:pPr>
        <w:shd w:val="clear" w:color="auto" w:fill="FFFFFF"/>
        <w:spacing w:line="276" w:lineRule="auto"/>
        <w:jc w:val="center"/>
        <w:rPr>
          <w:rFonts w:ascii="Arial" w:eastAsia="Wingdings" w:hAnsi="Arial" w:cs="Arial"/>
          <w:bCs/>
          <w:color w:val="000000" w:themeColor="text1"/>
          <w:w w:val="85"/>
          <w:sz w:val="25"/>
          <w:szCs w:val="25"/>
        </w:rPr>
      </w:pPr>
      <w:r w:rsidRPr="00E018EF">
        <w:rPr>
          <w:rFonts w:ascii="Arial" w:hAnsi="Arial" w:cs="Arial"/>
          <w:bCs/>
          <w:noProof/>
          <w:color w:val="000000" w:themeColor="text1"/>
          <w:sz w:val="25"/>
          <w:szCs w:val="25"/>
        </w:rPr>
        <w:lastRenderedPageBreak/>
        <w:drawing>
          <wp:inline distT="0" distB="0" distL="0" distR="0" wp14:anchorId="7DF3768A" wp14:editId="7381600F">
            <wp:extent cx="6632812" cy="2758222"/>
            <wp:effectExtent l="0" t="0" r="9525" b="10795"/>
            <wp:docPr id="1" name="Chart 1">
              <a:extLst xmlns:a="http://schemas.openxmlformats.org/drawingml/2006/main">
                <a:ext uri="{FF2B5EF4-FFF2-40B4-BE49-F238E27FC236}">
                  <a16:creationId xmlns:a16="http://schemas.microsoft.com/office/drawing/2014/main" id="{5662A31E-843B-4520-868F-2E2B9A6FB8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13D659" w14:textId="6F12E3AE"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p>
    <w:p w14:paraId="42B571C3" w14:textId="25D8B76D"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rPr>
        <w:t xml:space="preserve">I can say that histogram is symmetrical, the level of skewness is low. I can see longer right tail than left one. It means that more extreme events relate to positive returns. Distribution is not normal as data are unsymmetrically distributed with skewness. Mean and median are not equal. </w:t>
      </w:r>
    </w:p>
    <w:p w14:paraId="4644999E" w14:textId="7209B874"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p>
    <w:p w14:paraId="7E7104F8" w14:textId="60CAF370" w:rsidR="00705B54" w:rsidRPr="00E018EF" w:rsidRDefault="00E018EF" w:rsidP="00E018EF">
      <w:pPr>
        <w:shd w:val="clear" w:color="auto" w:fill="FFFFFF"/>
        <w:spacing w:line="276" w:lineRule="auto"/>
        <w:jc w:val="both"/>
        <w:rPr>
          <w:rFonts w:ascii="Arial" w:eastAsia="Wingdings" w:hAnsi="Arial" w:cs="Arial"/>
          <w:b/>
          <w:color w:val="000000" w:themeColor="text1"/>
          <w:w w:val="85"/>
          <w:sz w:val="25"/>
          <w:szCs w:val="25"/>
        </w:rPr>
      </w:pPr>
      <w:r w:rsidRPr="00E018EF">
        <w:rPr>
          <w:rFonts w:ascii="Arial" w:eastAsia="Wingdings" w:hAnsi="Arial" w:cs="Arial"/>
          <w:b/>
          <w:color w:val="000000" w:themeColor="text1"/>
          <w:w w:val="85"/>
          <w:sz w:val="25"/>
          <w:szCs w:val="25"/>
          <w:lang w:val="en-US"/>
        </w:rPr>
        <w:t>4</w:t>
      </w:r>
      <w:r w:rsidR="00705B54" w:rsidRPr="00E018EF">
        <w:rPr>
          <w:rFonts w:ascii="Arial" w:eastAsia="Wingdings" w:hAnsi="Arial" w:cs="Arial"/>
          <w:b/>
          <w:color w:val="000000" w:themeColor="text1"/>
          <w:w w:val="85"/>
          <w:sz w:val="25"/>
          <w:szCs w:val="25"/>
          <w:lang w:val="en-US"/>
        </w:rPr>
        <w:t xml:space="preserve">. </w:t>
      </w:r>
      <w:r w:rsidR="00705B54" w:rsidRPr="00E018EF">
        <w:rPr>
          <w:rFonts w:ascii="Arial" w:eastAsia="Wingdings" w:hAnsi="Arial" w:cs="Arial"/>
          <w:b/>
          <w:color w:val="000000" w:themeColor="text1"/>
          <w:w w:val="85"/>
          <w:sz w:val="25"/>
          <w:szCs w:val="25"/>
        </w:rPr>
        <w:t>M</w:t>
      </w:r>
      <w:r w:rsidR="009058F8" w:rsidRPr="00E018EF">
        <w:rPr>
          <w:rFonts w:ascii="Arial" w:eastAsia="Wingdings" w:hAnsi="Arial" w:cs="Arial"/>
          <w:b/>
          <w:color w:val="000000" w:themeColor="text1"/>
          <w:w w:val="85"/>
          <w:sz w:val="25"/>
          <w:szCs w:val="25"/>
        </w:rPr>
        <w:t>ean, standard deviation, variance, median, skewness, excess kurtosis, quartiles, IQR</w:t>
      </w:r>
    </w:p>
    <w:p w14:paraId="53235AF7" w14:textId="77777777" w:rsidR="00705B54" w:rsidRPr="00E018EF" w:rsidRDefault="00705B54" w:rsidP="00E018EF">
      <w:pPr>
        <w:shd w:val="clear" w:color="auto" w:fill="FFFFFF"/>
        <w:spacing w:line="276" w:lineRule="auto"/>
        <w:jc w:val="both"/>
        <w:rPr>
          <w:rFonts w:ascii="Arial" w:eastAsia="Wingdings" w:hAnsi="Arial" w:cs="Arial"/>
          <w:b/>
          <w:color w:val="000000" w:themeColor="text1"/>
          <w:w w:val="85"/>
          <w:sz w:val="25"/>
          <w:szCs w:val="25"/>
        </w:rPr>
      </w:pPr>
    </w:p>
    <w:tbl>
      <w:tblPr>
        <w:tblW w:w="3900" w:type="dxa"/>
        <w:tblLook w:val="04A0" w:firstRow="1" w:lastRow="0" w:firstColumn="1" w:lastColumn="0" w:noHBand="0" w:noVBand="1"/>
      </w:tblPr>
      <w:tblGrid>
        <w:gridCol w:w="2360"/>
        <w:gridCol w:w="1676"/>
      </w:tblGrid>
      <w:tr w:rsidR="00384794" w:rsidRPr="00E018EF" w14:paraId="59E0185D" w14:textId="77777777" w:rsidTr="00705B54">
        <w:trPr>
          <w:trHeight w:val="32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A9475"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MEAN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4FE4669" w14:textId="6D938EB9" w:rsidR="00705B54" w:rsidRPr="00705B54" w:rsidRDefault="00705B54" w:rsidP="00E018EF">
            <w:pPr>
              <w:spacing w:after="160" w:line="276" w:lineRule="auto"/>
              <w:jc w:val="both"/>
              <w:rPr>
                <w:rFonts w:ascii="Arial" w:eastAsiaTheme="minorHAnsi" w:hAnsi="Arial" w:cs="Arial"/>
                <w:bCs/>
                <w:color w:val="000000" w:themeColor="text1"/>
                <w:sz w:val="25"/>
                <w:szCs w:val="25"/>
                <w:lang w:val="en-US" w:eastAsia="en-US"/>
              </w:rPr>
            </w:pPr>
            <w:r w:rsidRPr="00E018EF">
              <w:rPr>
                <w:rFonts w:ascii="Arial" w:hAnsi="Arial" w:cs="Arial"/>
                <w:bCs/>
                <w:color w:val="000000" w:themeColor="text1"/>
                <w:sz w:val="25"/>
                <w:szCs w:val="25"/>
              </w:rPr>
              <w:t>0,002641960</w:t>
            </w:r>
          </w:p>
        </w:tc>
      </w:tr>
      <w:tr w:rsidR="00384794" w:rsidRPr="00E018EF" w14:paraId="22B9D091"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513891F"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SD</w:t>
            </w:r>
          </w:p>
        </w:tc>
        <w:tc>
          <w:tcPr>
            <w:tcW w:w="1540" w:type="dxa"/>
            <w:tcBorders>
              <w:top w:val="nil"/>
              <w:left w:val="nil"/>
              <w:bottom w:val="single" w:sz="4" w:space="0" w:color="auto"/>
              <w:right w:val="single" w:sz="4" w:space="0" w:color="auto"/>
            </w:tcBorders>
            <w:shd w:val="clear" w:color="auto" w:fill="auto"/>
            <w:noWrap/>
            <w:vAlign w:val="bottom"/>
            <w:hideMark/>
          </w:tcPr>
          <w:p w14:paraId="59801BDD"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1,697588014</w:t>
            </w:r>
          </w:p>
        </w:tc>
      </w:tr>
      <w:tr w:rsidR="00384794" w:rsidRPr="00E018EF" w14:paraId="664E98C6"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4D831800"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Variance</w:t>
            </w:r>
          </w:p>
        </w:tc>
        <w:tc>
          <w:tcPr>
            <w:tcW w:w="1540" w:type="dxa"/>
            <w:tcBorders>
              <w:top w:val="nil"/>
              <w:left w:val="nil"/>
              <w:bottom w:val="single" w:sz="4" w:space="0" w:color="auto"/>
              <w:right w:val="single" w:sz="4" w:space="0" w:color="auto"/>
            </w:tcBorders>
            <w:shd w:val="clear" w:color="auto" w:fill="auto"/>
            <w:noWrap/>
            <w:vAlign w:val="bottom"/>
            <w:hideMark/>
          </w:tcPr>
          <w:p w14:paraId="393CA339"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2,881805065</w:t>
            </w:r>
          </w:p>
        </w:tc>
      </w:tr>
      <w:tr w:rsidR="00384794" w:rsidRPr="00E018EF" w14:paraId="09980DD6"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7047C050"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MEDIAN</w:t>
            </w:r>
          </w:p>
        </w:tc>
        <w:tc>
          <w:tcPr>
            <w:tcW w:w="1540" w:type="dxa"/>
            <w:tcBorders>
              <w:top w:val="nil"/>
              <w:left w:val="nil"/>
              <w:bottom w:val="single" w:sz="4" w:space="0" w:color="auto"/>
              <w:right w:val="single" w:sz="4" w:space="0" w:color="auto"/>
            </w:tcBorders>
            <w:shd w:val="clear" w:color="auto" w:fill="auto"/>
            <w:noWrap/>
            <w:vAlign w:val="bottom"/>
            <w:hideMark/>
          </w:tcPr>
          <w:p w14:paraId="0BA9BBD8"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0,038307335</w:t>
            </w:r>
          </w:p>
        </w:tc>
      </w:tr>
      <w:tr w:rsidR="00384794" w:rsidRPr="00E018EF" w14:paraId="1D9E3334"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29577F58"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MODE</w:t>
            </w:r>
          </w:p>
        </w:tc>
        <w:tc>
          <w:tcPr>
            <w:tcW w:w="1540" w:type="dxa"/>
            <w:tcBorders>
              <w:top w:val="nil"/>
              <w:left w:val="nil"/>
              <w:bottom w:val="single" w:sz="4" w:space="0" w:color="auto"/>
              <w:right w:val="single" w:sz="4" w:space="0" w:color="auto"/>
            </w:tcBorders>
            <w:shd w:val="clear" w:color="auto" w:fill="auto"/>
            <w:noWrap/>
            <w:vAlign w:val="bottom"/>
            <w:hideMark/>
          </w:tcPr>
          <w:p w14:paraId="1CBD1A14" w14:textId="6A513777" w:rsidR="00705B54" w:rsidRPr="00705B54" w:rsidRDefault="00705B54" w:rsidP="00E018EF">
            <w:pPr>
              <w:spacing w:line="276" w:lineRule="auto"/>
              <w:jc w:val="both"/>
              <w:rPr>
                <w:rFonts w:ascii="Arial" w:hAnsi="Arial" w:cs="Arial"/>
                <w:bCs/>
                <w:color w:val="000000" w:themeColor="text1"/>
                <w:sz w:val="25"/>
                <w:szCs w:val="25"/>
                <w:lang w:val="en-US"/>
              </w:rPr>
            </w:pPr>
            <w:r w:rsidRPr="00E018EF">
              <w:rPr>
                <w:rFonts w:ascii="Arial" w:hAnsi="Arial" w:cs="Arial"/>
                <w:bCs/>
                <w:color w:val="000000" w:themeColor="text1"/>
                <w:sz w:val="25"/>
                <w:szCs w:val="25"/>
              </w:rPr>
              <w:t>-</w:t>
            </w:r>
          </w:p>
        </w:tc>
      </w:tr>
      <w:tr w:rsidR="00384794" w:rsidRPr="00E018EF" w14:paraId="241ADA72"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91F25BC"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SKEWNESS</w:t>
            </w:r>
          </w:p>
        </w:tc>
        <w:tc>
          <w:tcPr>
            <w:tcW w:w="1540" w:type="dxa"/>
            <w:tcBorders>
              <w:top w:val="nil"/>
              <w:left w:val="nil"/>
              <w:bottom w:val="single" w:sz="4" w:space="0" w:color="auto"/>
              <w:right w:val="single" w:sz="4" w:space="0" w:color="auto"/>
            </w:tcBorders>
            <w:shd w:val="clear" w:color="auto" w:fill="auto"/>
            <w:noWrap/>
            <w:vAlign w:val="bottom"/>
            <w:hideMark/>
          </w:tcPr>
          <w:p w14:paraId="1AF780F4"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0,136831743</w:t>
            </w:r>
          </w:p>
        </w:tc>
      </w:tr>
      <w:tr w:rsidR="00384794" w:rsidRPr="00E018EF" w14:paraId="5779DC9C"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353B1E08"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EXC. KURTOSIS</w:t>
            </w:r>
          </w:p>
        </w:tc>
        <w:tc>
          <w:tcPr>
            <w:tcW w:w="1540" w:type="dxa"/>
            <w:tcBorders>
              <w:top w:val="nil"/>
              <w:left w:val="nil"/>
              <w:bottom w:val="single" w:sz="4" w:space="0" w:color="auto"/>
              <w:right w:val="single" w:sz="4" w:space="0" w:color="auto"/>
            </w:tcBorders>
            <w:shd w:val="clear" w:color="auto" w:fill="auto"/>
            <w:noWrap/>
            <w:vAlign w:val="bottom"/>
            <w:hideMark/>
          </w:tcPr>
          <w:p w14:paraId="37FBF1D9"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2,391892645</w:t>
            </w:r>
          </w:p>
        </w:tc>
      </w:tr>
      <w:tr w:rsidR="00384794" w:rsidRPr="00E018EF" w14:paraId="03863D35"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79113126"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Q25</w:t>
            </w:r>
          </w:p>
        </w:tc>
        <w:tc>
          <w:tcPr>
            <w:tcW w:w="1540" w:type="dxa"/>
            <w:tcBorders>
              <w:top w:val="nil"/>
              <w:left w:val="nil"/>
              <w:bottom w:val="single" w:sz="4" w:space="0" w:color="auto"/>
              <w:right w:val="single" w:sz="4" w:space="0" w:color="auto"/>
            </w:tcBorders>
            <w:shd w:val="clear" w:color="auto" w:fill="auto"/>
            <w:noWrap/>
            <w:vAlign w:val="bottom"/>
            <w:hideMark/>
          </w:tcPr>
          <w:p w14:paraId="23976EE6" w14:textId="32F922F0" w:rsidR="00705B54" w:rsidRPr="00705B54" w:rsidRDefault="00705B54" w:rsidP="00E018EF">
            <w:pPr>
              <w:spacing w:line="276" w:lineRule="auto"/>
              <w:jc w:val="both"/>
              <w:rPr>
                <w:rFonts w:ascii="Arial" w:hAnsi="Arial" w:cs="Arial"/>
                <w:bCs/>
                <w:color w:val="000000" w:themeColor="text1"/>
                <w:sz w:val="25"/>
                <w:szCs w:val="25"/>
                <w:lang w:val="en-US"/>
              </w:rPr>
            </w:pPr>
            <w:r w:rsidRPr="00705B54">
              <w:rPr>
                <w:rFonts w:ascii="Arial" w:hAnsi="Arial" w:cs="Arial"/>
                <w:bCs/>
                <w:color w:val="000000" w:themeColor="text1"/>
                <w:sz w:val="25"/>
                <w:szCs w:val="25"/>
              </w:rPr>
              <w:t>-0,95332502</w:t>
            </w:r>
          </w:p>
        </w:tc>
      </w:tr>
      <w:tr w:rsidR="00384794" w:rsidRPr="00E018EF" w14:paraId="2347ED00"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4FE6D0F3"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Q75</w:t>
            </w:r>
          </w:p>
        </w:tc>
        <w:tc>
          <w:tcPr>
            <w:tcW w:w="1540" w:type="dxa"/>
            <w:tcBorders>
              <w:top w:val="nil"/>
              <w:left w:val="nil"/>
              <w:bottom w:val="single" w:sz="4" w:space="0" w:color="auto"/>
              <w:right w:val="single" w:sz="4" w:space="0" w:color="auto"/>
            </w:tcBorders>
            <w:shd w:val="clear" w:color="auto" w:fill="auto"/>
            <w:noWrap/>
            <w:vAlign w:val="bottom"/>
            <w:hideMark/>
          </w:tcPr>
          <w:p w14:paraId="64EAEB0B" w14:textId="77777777" w:rsidR="00705B54" w:rsidRPr="00705B54" w:rsidRDefault="00705B54" w:rsidP="00E018EF">
            <w:pPr>
              <w:spacing w:line="276" w:lineRule="auto"/>
              <w:jc w:val="both"/>
              <w:rPr>
                <w:rFonts w:ascii="Arial" w:hAnsi="Arial" w:cs="Arial"/>
                <w:bCs/>
                <w:color w:val="000000" w:themeColor="text1"/>
                <w:sz w:val="25"/>
                <w:szCs w:val="25"/>
                <w:lang w:val="en-US"/>
              </w:rPr>
            </w:pPr>
            <w:r w:rsidRPr="00705B54">
              <w:rPr>
                <w:rFonts w:ascii="Arial" w:hAnsi="Arial" w:cs="Arial"/>
                <w:bCs/>
                <w:color w:val="000000" w:themeColor="text1"/>
                <w:sz w:val="25"/>
                <w:szCs w:val="25"/>
              </w:rPr>
              <w:t>1,031147726</w:t>
            </w:r>
          </w:p>
        </w:tc>
      </w:tr>
    </w:tbl>
    <w:p w14:paraId="301C6AF8" w14:textId="0465D6EB" w:rsidR="00705B54" w:rsidRPr="00E018EF" w:rsidRDefault="00705B54" w:rsidP="00E018EF">
      <w:pPr>
        <w:spacing w:line="276" w:lineRule="auto"/>
        <w:jc w:val="both"/>
        <w:rPr>
          <w:rFonts w:ascii="Arial" w:hAnsi="Arial" w:cs="Arial"/>
          <w:bCs/>
          <w:color w:val="000000" w:themeColor="text1"/>
          <w:sz w:val="25"/>
          <w:szCs w:val="25"/>
          <w:lang w:val="en-US"/>
        </w:rPr>
      </w:pPr>
      <w:r w:rsidRPr="00E018EF">
        <w:rPr>
          <w:rFonts w:ascii="Arial" w:eastAsia="Wingdings" w:hAnsi="Arial" w:cs="Arial"/>
          <w:bCs/>
          <w:color w:val="000000" w:themeColor="text1"/>
          <w:w w:val="85"/>
          <w:sz w:val="25"/>
          <w:szCs w:val="25"/>
        </w:rPr>
        <w:t xml:space="preserve">IQR = </w:t>
      </w:r>
      <w:r w:rsidRPr="00705B54">
        <w:rPr>
          <w:rFonts w:ascii="Arial" w:hAnsi="Arial" w:cs="Arial"/>
          <w:bCs/>
          <w:color w:val="000000" w:themeColor="text1"/>
          <w:sz w:val="25"/>
          <w:szCs w:val="25"/>
        </w:rPr>
        <w:t>1,031147726</w:t>
      </w:r>
      <w:r w:rsidRPr="00E018EF">
        <w:rPr>
          <w:rFonts w:ascii="Arial" w:hAnsi="Arial" w:cs="Arial"/>
          <w:bCs/>
          <w:color w:val="000000" w:themeColor="text1"/>
          <w:sz w:val="25"/>
          <w:szCs w:val="25"/>
        </w:rPr>
        <w:t xml:space="preserve"> – (</w:t>
      </w:r>
      <w:r w:rsidRPr="00705B54">
        <w:rPr>
          <w:rFonts w:ascii="Arial" w:hAnsi="Arial" w:cs="Arial"/>
          <w:bCs/>
          <w:color w:val="000000" w:themeColor="text1"/>
          <w:sz w:val="25"/>
          <w:szCs w:val="25"/>
        </w:rPr>
        <w:t>-0,95332502</w:t>
      </w:r>
      <w:r w:rsidRPr="00E018EF">
        <w:rPr>
          <w:rFonts w:ascii="Arial" w:hAnsi="Arial" w:cs="Arial"/>
          <w:bCs/>
          <w:color w:val="000000" w:themeColor="text1"/>
          <w:sz w:val="25"/>
          <w:szCs w:val="25"/>
        </w:rPr>
        <w:t>) = 1,984472746</w:t>
      </w:r>
      <w:r w:rsidRPr="00E018EF">
        <w:rPr>
          <w:rFonts w:ascii="Arial" w:hAnsi="Arial" w:cs="Arial"/>
          <w:bCs/>
          <w:color w:val="000000" w:themeColor="text1"/>
          <w:sz w:val="25"/>
          <w:szCs w:val="25"/>
          <w:lang w:val="en-US"/>
        </w:rPr>
        <w:t xml:space="preserve"> </w:t>
      </w:r>
    </w:p>
    <w:p w14:paraId="12211730" w14:textId="13D1F346" w:rsidR="009058F8"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rPr>
        <w:t xml:space="preserve">Interpretation </w:t>
      </w:r>
    </w:p>
    <w:p w14:paraId="5B6B4089" w14:textId="77777777" w:rsidR="00705B54" w:rsidRPr="00705B54" w:rsidRDefault="00705B54" w:rsidP="00E018EF">
      <w:pPr>
        <w:shd w:val="clear" w:color="auto" w:fill="FFFFFF"/>
        <w:spacing w:line="276" w:lineRule="auto"/>
        <w:jc w:val="both"/>
        <w:rPr>
          <w:rFonts w:ascii="Arial" w:eastAsia="Wingdings" w:hAnsi="Arial" w:cs="Arial"/>
          <w:bCs/>
          <w:color w:val="000000" w:themeColor="text1"/>
          <w:w w:val="85"/>
          <w:sz w:val="25"/>
          <w:szCs w:val="25"/>
        </w:rPr>
      </w:pPr>
      <w:r w:rsidRPr="00705B54">
        <w:rPr>
          <w:rFonts w:ascii="Arial" w:eastAsia="Wingdings" w:hAnsi="Arial" w:cs="Arial"/>
          <w:bCs/>
          <w:color w:val="000000" w:themeColor="text1"/>
          <w:w w:val="85"/>
          <w:sz w:val="25"/>
          <w:szCs w:val="25"/>
          <w:lang w:val="en-GB"/>
        </w:rPr>
        <w:lastRenderedPageBreak/>
        <w:t>Smaller standard deviation indicates that the data points (returns) are closer to the mean, which suggests that the data is more consistent or has less variability.</w:t>
      </w:r>
    </w:p>
    <w:p w14:paraId="05DBECFF" w14:textId="77777777" w:rsidR="00384794" w:rsidRPr="00E018EF" w:rsidRDefault="00705B54" w:rsidP="00E018EF">
      <w:pPr>
        <w:shd w:val="clear" w:color="auto" w:fill="FFFFFF"/>
        <w:spacing w:after="160"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rPr>
        <w:t xml:space="preserve">ATC has standard deviation 1,6976 %. Standard deviation is expressed in the same units as the original data and provides a quantitative measure of how much the data points deviate from the mean. So, mean is 0,002642 % - average return per day for the company and in most cases daily return will be by 1,6976% more or less. Standard deviation for ATC is small and price for the share isn’t volatile = not risky. </w:t>
      </w:r>
    </w:p>
    <w:p w14:paraId="7EC1096B" w14:textId="4E935976" w:rsidR="00384794" w:rsidRPr="00E018EF" w:rsidRDefault="00705B54" w:rsidP="00E018EF">
      <w:pPr>
        <w:shd w:val="clear" w:color="auto" w:fill="FFFFFF"/>
        <w:spacing w:after="160"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rPr>
        <w:t xml:space="preserve">One key difference between median and mean is how they are affected by extreme values or outliers. The median is not affected by extreme values, as it only considers the middle value of the dataset. In contrast, the mean is affected by extreme values, as it takes into account the value of each data point. The median for the company is 0,038307335. Median is bigger than mean, so histogram will have </w:t>
      </w:r>
      <w:r w:rsidRPr="00E018EF">
        <w:rPr>
          <w:rFonts w:ascii="Arial" w:eastAsia="Wingdings" w:hAnsi="Arial" w:cs="Arial"/>
          <w:bCs/>
          <w:color w:val="000000" w:themeColor="text1"/>
          <w:w w:val="85"/>
          <w:sz w:val="25"/>
          <w:szCs w:val="25"/>
          <w:lang w:val="en-GB"/>
        </w:rPr>
        <w:t>f</w:t>
      </w:r>
      <w:r w:rsidRPr="00E018EF">
        <w:rPr>
          <w:rFonts w:ascii="Arial" w:eastAsia="Wingdings" w:hAnsi="Arial" w:cs="Arial"/>
          <w:bCs/>
          <w:color w:val="000000" w:themeColor="text1"/>
          <w:w w:val="85"/>
          <w:sz w:val="25"/>
          <w:szCs w:val="25"/>
          <w:lang w:eastAsia="en-US"/>
        </w:rPr>
        <w:t xml:space="preserve">latter </w:t>
      </w:r>
      <w:r w:rsidRPr="00E018EF">
        <w:rPr>
          <w:rFonts w:ascii="Arial" w:eastAsia="Wingdings" w:hAnsi="Arial" w:cs="Arial"/>
          <w:bCs/>
          <w:color w:val="000000" w:themeColor="text1"/>
          <w:w w:val="85"/>
          <w:sz w:val="25"/>
          <w:szCs w:val="25"/>
        </w:rPr>
        <w:t xml:space="preserve">right </w:t>
      </w:r>
      <w:r w:rsidRPr="00E018EF">
        <w:rPr>
          <w:rFonts w:ascii="Arial" w:eastAsia="Wingdings" w:hAnsi="Arial" w:cs="Arial"/>
          <w:bCs/>
          <w:color w:val="000000" w:themeColor="text1"/>
          <w:w w:val="85"/>
          <w:sz w:val="25"/>
          <w:szCs w:val="25"/>
          <w:lang w:eastAsia="en-US"/>
        </w:rPr>
        <w:t>tail</w:t>
      </w:r>
      <w:r w:rsidRPr="00E018EF">
        <w:rPr>
          <w:rFonts w:ascii="Arial" w:eastAsia="Wingdings" w:hAnsi="Arial" w:cs="Arial"/>
          <w:bCs/>
          <w:color w:val="000000" w:themeColor="text1"/>
          <w:w w:val="85"/>
          <w:sz w:val="25"/>
          <w:szCs w:val="25"/>
        </w:rPr>
        <w:t xml:space="preserve"> and m</w:t>
      </w:r>
      <w:r w:rsidRPr="00705B54">
        <w:rPr>
          <w:rFonts w:ascii="Arial" w:eastAsia="Wingdings" w:hAnsi="Arial" w:cs="Arial"/>
          <w:bCs/>
          <w:color w:val="000000" w:themeColor="text1"/>
          <w:w w:val="85"/>
          <w:sz w:val="25"/>
          <w:szCs w:val="25"/>
        </w:rPr>
        <w:t xml:space="preserve">ore extreme values at the </w:t>
      </w:r>
      <w:r w:rsidRPr="00E018EF">
        <w:rPr>
          <w:rFonts w:ascii="Arial" w:eastAsia="Wingdings" w:hAnsi="Arial" w:cs="Arial"/>
          <w:bCs/>
          <w:color w:val="000000" w:themeColor="text1"/>
          <w:w w:val="85"/>
          <w:sz w:val="25"/>
          <w:szCs w:val="25"/>
        </w:rPr>
        <w:t xml:space="preserve">positive </w:t>
      </w:r>
      <w:r w:rsidRPr="00705B54">
        <w:rPr>
          <w:rFonts w:ascii="Arial" w:eastAsia="Wingdings" w:hAnsi="Arial" w:cs="Arial"/>
          <w:bCs/>
          <w:color w:val="000000" w:themeColor="text1"/>
          <w:w w:val="85"/>
          <w:sz w:val="25"/>
          <w:szCs w:val="25"/>
        </w:rPr>
        <w:t>side</w:t>
      </w:r>
      <w:r w:rsidRPr="00E018EF">
        <w:rPr>
          <w:rFonts w:ascii="Arial" w:eastAsia="Wingdings" w:hAnsi="Arial" w:cs="Arial"/>
          <w:bCs/>
          <w:color w:val="000000" w:themeColor="text1"/>
          <w:w w:val="85"/>
          <w:sz w:val="25"/>
          <w:szCs w:val="25"/>
        </w:rPr>
        <w:t xml:space="preserve">. In this case, average return per day for the company is 0,0383 % if I want to not affect my average return by extreme events. </w:t>
      </w:r>
    </w:p>
    <w:p w14:paraId="143292F7" w14:textId="733CCE3E" w:rsidR="00384794" w:rsidRPr="00E018EF" w:rsidRDefault="00705B54" w:rsidP="00E018EF">
      <w:pPr>
        <w:shd w:val="clear" w:color="auto" w:fill="FFFFFF"/>
        <w:spacing w:after="160"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rPr>
        <w:t xml:space="preserve">Mode is a measure of central tendency that represents the most frequently occurring value in a dataset. I do not have similar numbers in the table. </w:t>
      </w:r>
    </w:p>
    <w:p w14:paraId="154BA2AF" w14:textId="77777777" w:rsidR="00384794" w:rsidRPr="00E018EF" w:rsidRDefault="00705B54" w:rsidP="00E018EF">
      <w:pPr>
        <w:shd w:val="clear" w:color="auto" w:fill="FFFFFF"/>
        <w:spacing w:after="160"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lang w:eastAsia="en-US"/>
        </w:rPr>
        <w:t>Skewness helps understand how data is asymmetry from the normal distribution. Skewness &gt; 0.5 – significant level. For ATC skewness is normal</w:t>
      </w:r>
      <w:r w:rsidRPr="00E018EF">
        <w:rPr>
          <w:rFonts w:ascii="Arial" w:eastAsia="Wingdings" w:hAnsi="Arial" w:cs="Arial"/>
          <w:bCs/>
          <w:color w:val="000000" w:themeColor="text1"/>
          <w:w w:val="85"/>
          <w:sz w:val="25"/>
          <w:szCs w:val="25"/>
        </w:rPr>
        <w:t xml:space="preserve">. ATC has positively skewed tail on the histogram. </w:t>
      </w:r>
    </w:p>
    <w:p w14:paraId="3053C1BE" w14:textId="77777777" w:rsidR="00384794" w:rsidRPr="00E018EF" w:rsidRDefault="00705B54" w:rsidP="00E018EF">
      <w:pPr>
        <w:shd w:val="clear" w:color="auto" w:fill="FFFFFF"/>
        <w:spacing w:after="160" w:line="276" w:lineRule="auto"/>
        <w:jc w:val="both"/>
        <w:rPr>
          <w:rFonts w:ascii="Arial" w:eastAsia="Wingdings" w:hAnsi="Arial" w:cs="Arial"/>
          <w:bCs/>
          <w:color w:val="000000" w:themeColor="text1"/>
          <w:w w:val="85"/>
          <w:sz w:val="25"/>
          <w:szCs w:val="25"/>
          <w:lang w:val="en-GB"/>
        </w:rPr>
      </w:pPr>
      <w:r w:rsidRPr="00E018EF">
        <w:rPr>
          <w:rFonts w:ascii="Arial" w:eastAsia="Wingdings" w:hAnsi="Arial" w:cs="Arial"/>
          <w:bCs/>
          <w:color w:val="000000" w:themeColor="text1"/>
          <w:w w:val="85"/>
          <w:sz w:val="25"/>
          <w:szCs w:val="25"/>
        </w:rPr>
        <w:t xml:space="preserve">Kurtosis is a measure of the shape of the probability distribution of a random variable. It measures the degree to which a distribution is more or less peaked and/or heavy-tailed than the normal distribution. ATC has 2, 39 Kurtosis. It is less than 3, so ATCs’ kurtosis is </w:t>
      </w:r>
      <w:r w:rsidRPr="00E018EF">
        <w:rPr>
          <w:rFonts w:ascii="Arial" w:eastAsia="Wingdings" w:hAnsi="Arial" w:cs="Arial"/>
          <w:bCs/>
          <w:color w:val="000000" w:themeColor="text1"/>
          <w:w w:val="85"/>
          <w:sz w:val="25"/>
          <w:szCs w:val="25"/>
          <w:lang w:val="en-GB"/>
        </w:rPr>
        <w:t>p</w:t>
      </w:r>
      <w:r w:rsidRPr="00E018EF">
        <w:rPr>
          <w:rFonts w:ascii="Arial" w:eastAsia="Wingdings" w:hAnsi="Arial" w:cs="Arial"/>
          <w:bCs/>
          <w:color w:val="000000" w:themeColor="text1"/>
          <w:w w:val="85"/>
          <w:sz w:val="25"/>
          <w:szCs w:val="25"/>
          <w:lang w:val="en-GB" w:eastAsia="en-US"/>
        </w:rPr>
        <w:t>latykurtic (kurtosis &lt; 3.0)</w:t>
      </w:r>
      <w:r w:rsidRPr="00E018EF">
        <w:rPr>
          <w:rFonts w:ascii="Arial" w:eastAsia="Wingdings" w:hAnsi="Arial" w:cs="Arial"/>
          <w:bCs/>
          <w:color w:val="000000" w:themeColor="text1"/>
          <w:w w:val="85"/>
          <w:sz w:val="25"/>
          <w:szCs w:val="25"/>
          <w:lang w:val="en-GB"/>
        </w:rPr>
        <w:t xml:space="preserve">. </w:t>
      </w:r>
      <w:r w:rsidRPr="00705B54">
        <w:rPr>
          <w:rFonts w:ascii="Arial" w:eastAsia="Wingdings" w:hAnsi="Arial" w:cs="Arial"/>
          <w:bCs/>
          <w:color w:val="000000" w:themeColor="text1"/>
          <w:w w:val="85"/>
          <w:sz w:val="25"/>
          <w:szCs w:val="25"/>
          <w:lang w:val="en-GB"/>
        </w:rPr>
        <w:t xml:space="preserve">Platykurtic distribution </w:t>
      </w:r>
      <w:r w:rsidRPr="00E018EF">
        <w:rPr>
          <w:rFonts w:ascii="Arial" w:eastAsia="Wingdings" w:hAnsi="Arial" w:cs="Arial"/>
          <w:bCs/>
          <w:color w:val="000000" w:themeColor="text1"/>
          <w:w w:val="85"/>
          <w:sz w:val="25"/>
          <w:szCs w:val="25"/>
          <w:lang w:val="en-GB"/>
        </w:rPr>
        <w:t xml:space="preserve">is </w:t>
      </w:r>
      <w:r w:rsidRPr="00705B54">
        <w:rPr>
          <w:rFonts w:ascii="Arial" w:eastAsia="Wingdings" w:hAnsi="Arial" w:cs="Arial"/>
          <w:bCs/>
          <w:color w:val="000000" w:themeColor="text1"/>
          <w:w w:val="85"/>
          <w:sz w:val="25"/>
          <w:szCs w:val="25"/>
          <w:lang w:val="en-GB"/>
        </w:rPr>
        <w:t>considered relatively stable</w:t>
      </w:r>
      <w:r w:rsidRPr="00E018EF">
        <w:rPr>
          <w:rFonts w:ascii="Arial" w:eastAsia="Wingdings" w:hAnsi="Arial" w:cs="Arial"/>
          <w:bCs/>
          <w:color w:val="000000" w:themeColor="text1"/>
          <w:w w:val="85"/>
          <w:sz w:val="25"/>
          <w:szCs w:val="25"/>
          <w:lang w:val="en-GB"/>
        </w:rPr>
        <w:t>. ATC</w:t>
      </w:r>
      <w:r w:rsidRPr="00705B54">
        <w:rPr>
          <w:rFonts w:ascii="Arial" w:eastAsia="Wingdings" w:hAnsi="Arial" w:cs="Arial"/>
          <w:bCs/>
          <w:color w:val="000000" w:themeColor="text1"/>
          <w:w w:val="85"/>
          <w:sz w:val="25"/>
          <w:szCs w:val="25"/>
          <w:lang w:val="en-GB"/>
        </w:rPr>
        <w:t xml:space="preserve"> historically experienced fewer extreme price movements</w:t>
      </w:r>
      <w:r w:rsidRPr="00E018EF">
        <w:rPr>
          <w:rFonts w:ascii="Arial" w:eastAsia="Wingdings" w:hAnsi="Arial" w:cs="Arial"/>
          <w:bCs/>
          <w:color w:val="000000" w:themeColor="text1"/>
          <w:w w:val="85"/>
          <w:sz w:val="25"/>
          <w:szCs w:val="25"/>
          <w:lang w:val="en-GB"/>
        </w:rPr>
        <w:t xml:space="preserve"> than other companies</w:t>
      </w:r>
      <w:r w:rsidRPr="00705B54">
        <w:rPr>
          <w:rFonts w:ascii="Arial" w:eastAsia="Wingdings" w:hAnsi="Arial" w:cs="Arial"/>
          <w:bCs/>
          <w:color w:val="000000" w:themeColor="text1"/>
          <w:w w:val="85"/>
          <w:sz w:val="25"/>
          <w:szCs w:val="25"/>
          <w:lang w:val="en-GB"/>
        </w:rPr>
        <w:t xml:space="preserve">. As a result, </w:t>
      </w:r>
      <w:r w:rsidRPr="00E018EF">
        <w:rPr>
          <w:rFonts w:ascii="Arial" w:eastAsia="Wingdings" w:hAnsi="Arial" w:cs="Arial"/>
          <w:bCs/>
          <w:color w:val="000000" w:themeColor="text1"/>
          <w:w w:val="85"/>
          <w:sz w:val="25"/>
          <w:szCs w:val="25"/>
          <w:lang w:val="en-GB"/>
        </w:rPr>
        <w:t xml:space="preserve">company is </w:t>
      </w:r>
      <w:r w:rsidRPr="00705B54">
        <w:rPr>
          <w:rFonts w:ascii="Arial" w:eastAsia="Wingdings" w:hAnsi="Arial" w:cs="Arial"/>
          <w:bCs/>
          <w:color w:val="000000" w:themeColor="text1"/>
          <w:w w:val="85"/>
          <w:sz w:val="25"/>
          <w:szCs w:val="25"/>
          <w:lang w:val="en-GB"/>
        </w:rPr>
        <w:t>associated with a moderate level of risk.</w:t>
      </w:r>
    </w:p>
    <w:p w14:paraId="5DAFE5FB" w14:textId="11ACE181" w:rsidR="00705B54" w:rsidRPr="00705B54" w:rsidRDefault="00705B54" w:rsidP="00E018EF">
      <w:pPr>
        <w:shd w:val="clear" w:color="auto" w:fill="FFFFFF"/>
        <w:spacing w:after="160" w:line="276" w:lineRule="auto"/>
        <w:jc w:val="both"/>
        <w:rPr>
          <w:rFonts w:ascii="Arial" w:eastAsia="Wingdings" w:hAnsi="Arial" w:cs="Arial"/>
          <w:bCs/>
          <w:color w:val="000000" w:themeColor="text1"/>
          <w:w w:val="85"/>
          <w:sz w:val="25"/>
          <w:szCs w:val="25"/>
        </w:rPr>
      </w:pPr>
      <w:r w:rsidRPr="00705B54">
        <w:rPr>
          <w:rFonts w:ascii="Arial" w:eastAsia="Wingdings" w:hAnsi="Arial" w:cs="Arial"/>
          <w:bCs/>
          <w:color w:val="000000" w:themeColor="text1"/>
          <w:w w:val="85"/>
          <w:sz w:val="25"/>
          <w:szCs w:val="25"/>
          <w:lang w:val="en-GB"/>
        </w:rPr>
        <w:t xml:space="preserve"> </w:t>
      </w:r>
      <w:r w:rsidRPr="00E018EF">
        <w:rPr>
          <w:rFonts w:ascii="Arial" w:eastAsia="Wingdings" w:hAnsi="Arial" w:cs="Arial"/>
          <w:bCs/>
          <w:color w:val="000000" w:themeColor="text1"/>
          <w:w w:val="85"/>
          <w:sz w:val="25"/>
          <w:szCs w:val="25"/>
          <w:lang w:val="en-GB"/>
        </w:rPr>
        <w:t>Q25 represents the value at which 25 % of the data is below it, while Q75 represents the value at which 75 % of the data is below it. The IQR, on the other hand, is a measure of the range of the middle 50% of the data and is calculated as the difference between the third quartile (Q3) and the first quartile (Q1). 25% of the returns are lower than -0,95% and 75% of the days have return less than 1</w:t>
      </w:r>
    </w:p>
    <w:p w14:paraId="373AD110" w14:textId="7DD304A6" w:rsidR="009058F8" w:rsidRPr="00E018EF" w:rsidRDefault="00E018EF" w:rsidP="00E018EF">
      <w:pPr>
        <w:shd w:val="clear" w:color="auto" w:fill="FFFFFF"/>
        <w:spacing w:line="276" w:lineRule="auto"/>
        <w:jc w:val="both"/>
        <w:rPr>
          <w:rFonts w:ascii="Arial" w:eastAsia="Wingdings" w:hAnsi="Arial" w:cs="Arial"/>
          <w:b/>
          <w:color w:val="000000" w:themeColor="text1"/>
          <w:w w:val="85"/>
          <w:sz w:val="25"/>
          <w:szCs w:val="25"/>
        </w:rPr>
      </w:pPr>
      <w:r w:rsidRPr="00E018EF">
        <w:rPr>
          <w:rFonts w:ascii="Arial" w:eastAsia="Wingdings" w:hAnsi="Arial" w:cs="Arial"/>
          <w:b/>
          <w:color w:val="000000" w:themeColor="text1"/>
          <w:w w:val="85"/>
          <w:sz w:val="25"/>
          <w:szCs w:val="25"/>
          <w:lang w:val="en-US"/>
        </w:rPr>
        <w:t>5</w:t>
      </w:r>
      <w:r w:rsidR="00705B54" w:rsidRPr="00E018EF">
        <w:rPr>
          <w:rFonts w:ascii="Arial" w:eastAsia="Wingdings" w:hAnsi="Arial" w:cs="Arial"/>
          <w:b/>
          <w:color w:val="000000" w:themeColor="text1"/>
          <w:w w:val="85"/>
          <w:sz w:val="25"/>
          <w:szCs w:val="25"/>
          <w:lang w:val="en-US"/>
        </w:rPr>
        <w:t>.</w:t>
      </w:r>
      <w:r w:rsidR="009058F8" w:rsidRPr="00E018EF">
        <w:rPr>
          <w:rFonts w:ascii="Arial" w:eastAsia="Wingdings" w:hAnsi="Arial" w:cs="Arial"/>
          <w:b/>
          <w:color w:val="000000" w:themeColor="text1"/>
          <w:w w:val="85"/>
          <w:sz w:val="25"/>
          <w:szCs w:val="25"/>
        </w:rPr>
        <w:t>Value-at-Risk</w:t>
      </w:r>
      <w:r w:rsidR="00705B54" w:rsidRPr="00E018EF">
        <w:rPr>
          <w:rFonts w:ascii="Arial" w:eastAsia="Wingdings" w:hAnsi="Arial" w:cs="Arial"/>
          <w:b/>
          <w:color w:val="000000" w:themeColor="text1"/>
          <w:w w:val="85"/>
          <w:sz w:val="25"/>
          <w:szCs w:val="25"/>
          <w:lang w:val="en-US"/>
        </w:rPr>
        <w:t xml:space="preserve"> and </w:t>
      </w:r>
      <w:r w:rsidR="009058F8" w:rsidRPr="00E018EF">
        <w:rPr>
          <w:rFonts w:ascii="Arial" w:eastAsia="Wingdings" w:hAnsi="Arial" w:cs="Arial"/>
          <w:b/>
          <w:color w:val="000000" w:themeColor="text1"/>
          <w:w w:val="85"/>
          <w:sz w:val="25"/>
          <w:szCs w:val="25"/>
        </w:rPr>
        <w:t xml:space="preserve">Jarque-Berra test </w:t>
      </w:r>
    </w:p>
    <w:p w14:paraId="71351787" w14:textId="77777777" w:rsidR="00384794" w:rsidRPr="00E018EF" w:rsidRDefault="00384794" w:rsidP="00E018EF">
      <w:pPr>
        <w:shd w:val="clear" w:color="auto" w:fill="FFFFFF"/>
        <w:spacing w:line="276" w:lineRule="auto"/>
        <w:jc w:val="both"/>
        <w:rPr>
          <w:rFonts w:ascii="Arial" w:eastAsia="Wingdings" w:hAnsi="Arial" w:cs="Arial"/>
          <w:bCs/>
          <w:color w:val="000000" w:themeColor="text1"/>
          <w:w w:val="85"/>
          <w:sz w:val="25"/>
          <w:szCs w:val="25"/>
        </w:rPr>
      </w:pPr>
    </w:p>
    <w:tbl>
      <w:tblPr>
        <w:tblW w:w="9484" w:type="dxa"/>
        <w:tblLook w:val="04A0" w:firstRow="1" w:lastRow="0" w:firstColumn="1" w:lastColumn="0" w:noHBand="0" w:noVBand="1"/>
      </w:tblPr>
      <w:tblGrid>
        <w:gridCol w:w="2360"/>
        <w:gridCol w:w="1676"/>
        <w:gridCol w:w="5584"/>
      </w:tblGrid>
      <w:tr w:rsidR="00384794" w:rsidRPr="00E018EF" w14:paraId="39ABE3C3" w14:textId="77777777" w:rsidTr="00384794">
        <w:trPr>
          <w:trHeight w:val="32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325FB" w14:textId="77777777"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JARQUE-BERA STATISTIC</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9C4FF06" w14:textId="77777777"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9,319882847</w:t>
            </w:r>
          </w:p>
        </w:tc>
        <w:tc>
          <w:tcPr>
            <w:tcW w:w="5584" w:type="dxa"/>
            <w:tcBorders>
              <w:top w:val="nil"/>
              <w:left w:val="nil"/>
              <w:bottom w:val="nil"/>
              <w:right w:val="nil"/>
            </w:tcBorders>
            <w:shd w:val="clear" w:color="auto" w:fill="auto"/>
            <w:noWrap/>
            <w:vAlign w:val="bottom"/>
            <w:hideMark/>
          </w:tcPr>
          <w:p w14:paraId="4578784C" w14:textId="77777777" w:rsidR="00384794" w:rsidRPr="00E018EF" w:rsidRDefault="00384794" w:rsidP="00E018EF">
            <w:pPr>
              <w:spacing w:line="276" w:lineRule="auto"/>
              <w:jc w:val="both"/>
              <w:rPr>
                <w:rFonts w:ascii="Arial" w:hAnsi="Arial" w:cs="Arial"/>
                <w:bCs/>
                <w:color w:val="000000" w:themeColor="text1"/>
                <w:sz w:val="25"/>
                <w:szCs w:val="25"/>
              </w:rPr>
            </w:pPr>
          </w:p>
        </w:tc>
      </w:tr>
      <w:tr w:rsidR="00384794" w:rsidRPr="00E018EF" w14:paraId="7A5F860F" w14:textId="77777777" w:rsidTr="0038479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24D75C0" w14:textId="77777777"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VaR 99%, 1 day</w:t>
            </w:r>
          </w:p>
        </w:tc>
        <w:tc>
          <w:tcPr>
            <w:tcW w:w="1540" w:type="dxa"/>
            <w:tcBorders>
              <w:top w:val="nil"/>
              <w:left w:val="nil"/>
              <w:bottom w:val="single" w:sz="4" w:space="0" w:color="auto"/>
              <w:right w:val="single" w:sz="4" w:space="0" w:color="auto"/>
            </w:tcBorders>
            <w:shd w:val="clear" w:color="auto" w:fill="auto"/>
            <w:noWrap/>
            <w:vAlign w:val="bottom"/>
            <w:hideMark/>
          </w:tcPr>
          <w:p w14:paraId="40AB0C49" w14:textId="6DCA5896"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lang w:val="en-US"/>
              </w:rPr>
              <w:t>-</w:t>
            </w:r>
            <w:r w:rsidRPr="00E018EF">
              <w:rPr>
                <w:rFonts w:ascii="Arial" w:hAnsi="Arial" w:cs="Arial"/>
                <w:bCs/>
                <w:color w:val="000000" w:themeColor="text1"/>
                <w:sz w:val="25"/>
                <w:szCs w:val="25"/>
              </w:rPr>
              <w:t>4,35006035</w:t>
            </w:r>
          </w:p>
        </w:tc>
        <w:tc>
          <w:tcPr>
            <w:tcW w:w="5584" w:type="dxa"/>
            <w:tcBorders>
              <w:top w:val="nil"/>
              <w:left w:val="nil"/>
              <w:bottom w:val="nil"/>
              <w:right w:val="nil"/>
            </w:tcBorders>
            <w:shd w:val="clear" w:color="auto" w:fill="auto"/>
            <w:noWrap/>
            <w:vAlign w:val="bottom"/>
            <w:hideMark/>
          </w:tcPr>
          <w:p w14:paraId="7D031592" w14:textId="726AA92F"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 xml:space="preserve">my daily loss will not exceed </w:t>
            </w:r>
            <w:r w:rsidRPr="00E018EF">
              <w:rPr>
                <w:rFonts w:ascii="Arial" w:hAnsi="Arial" w:cs="Arial"/>
                <w:bCs/>
                <w:color w:val="000000" w:themeColor="text1"/>
                <w:sz w:val="25"/>
                <w:szCs w:val="25"/>
                <w:lang w:val="en-US"/>
              </w:rPr>
              <w:t>-</w:t>
            </w:r>
            <w:r w:rsidRPr="00E018EF">
              <w:rPr>
                <w:rFonts w:ascii="Arial" w:hAnsi="Arial" w:cs="Arial"/>
                <w:bCs/>
                <w:color w:val="000000" w:themeColor="text1"/>
                <w:sz w:val="25"/>
                <w:szCs w:val="25"/>
              </w:rPr>
              <w:t>4</w:t>
            </w:r>
            <w:r w:rsidRPr="00E018EF">
              <w:rPr>
                <w:rFonts w:ascii="Arial" w:hAnsi="Arial" w:cs="Arial"/>
                <w:bCs/>
                <w:color w:val="000000" w:themeColor="text1"/>
                <w:sz w:val="25"/>
                <w:szCs w:val="25"/>
                <w:lang w:val="en-US"/>
              </w:rPr>
              <w:t xml:space="preserve">,35 </w:t>
            </w:r>
            <w:r w:rsidRPr="00E018EF">
              <w:rPr>
                <w:rFonts w:ascii="Arial" w:hAnsi="Arial" w:cs="Arial"/>
                <w:bCs/>
                <w:color w:val="000000" w:themeColor="text1"/>
                <w:sz w:val="25"/>
                <w:szCs w:val="25"/>
              </w:rPr>
              <w:t>% with propapility 99%</w:t>
            </w:r>
          </w:p>
        </w:tc>
      </w:tr>
      <w:tr w:rsidR="00384794" w:rsidRPr="00E018EF" w14:paraId="2F43DF1C" w14:textId="77777777" w:rsidTr="0038479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C7E6393" w14:textId="77777777"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Chi squared critical</w:t>
            </w:r>
          </w:p>
        </w:tc>
        <w:tc>
          <w:tcPr>
            <w:tcW w:w="1540" w:type="dxa"/>
            <w:tcBorders>
              <w:top w:val="nil"/>
              <w:left w:val="nil"/>
              <w:bottom w:val="single" w:sz="4" w:space="0" w:color="auto"/>
              <w:right w:val="single" w:sz="4" w:space="0" w:color="auto"/>
            </w:tcBorders>
            <w:shd w:val="clear" w:color="auto" w:fill="auto"/>
            <w:noWrap/>
            <w:vAlign w:val="bottom"/>
            <w:hideMark/>
          </w:tcPr>
          <w:p w14:paraId="67BEC55B" w14:textId="77777777"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9,210340372</w:t>
            </w:r>
          </w:p>
        </w:tc>
        <w:tc>
          <w:tcPr>
            <w:tcW w:w="5584" w:type="dxa"/>
            <w:tcBorders>
              <w:top w:val="nil"/>
              <w:left w:val="nil"/>
              <w:bottom w:val="nil"/>
              <w:right w:val="nil"/>
            </w:tcBorders>
            <w:shd w:val="clear" w:color="auto" w:fill="auto"/>
            <w:noWrap/>
            <w:vAlign w:val="bottom"/>
            <w:hideMark/>
          </w:tcPr>
          <w:p w14:paraId="1CA634CA" w14:textId="48FC4BD2"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lang w:val="en-US"/>
              </w:rPr>
              <w:t xml:space="preserve">For </w:t>
            </w:r>
            <w:r w:rsidRPr="00E018EF">
              <w:rPr>
                <w:rFonts w:ascii="Arial" w:hAnsi="Arial" w:cs="Arial"/>
                <w:bCs/>
                <w:color w:val="000000" w:themeColor="text1"/>
                <w:sz w:val="25"/>
                <w:szCs w:val="25"/>
              </w:rPr>
              <w:t>1%</w:t>
            </w:r>
          </w:p>
        </w:tc>
      </w:tr>
      <w:tr w:rsidR="00384794" w:rsidRPr="00E018EF" w14:paraId="74F15F60" w14:textId="77777777" w:rsidTr="0038479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9D2F1B6" w14:textId="77777777"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Quantile</w:t>
            </w:r>
          </w:p>
        </w:tc>
        <w:tc>
          <w:tcPr>
            <w:tcW w:w="1540" w:type="dxa"/>
            <w:tcBorders>
              <w:top w:val="nil"/>
              <w:left w:val="nil"/>
              <w:bottom w:val="single" w:sz="4" w:space="0" w:color="auto"/>
              <w:right w:val="single" w:sz="4" w:space="0" w:color="auto"/>
            </w:tcBorders>
            <w:shd w:val="clear" w:color="auto" w:fill="auto"/>
            <w:noWrap/>
            <w:vAlign w:val="bottom"/>
            <w:hideMark/>
          </w:tcPr>
          <w:p w14:paraId="0C8FCA55" w14:textId="77777777"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-1,644853627</w:t>
            </w:r>
          </w:p>
        </w:tc>
        <w:tc>
          <w:tcPr>
            <w:tcW w:w="5584" w:type="dxa"/>
            <w:tcBorders>
              <w:top w:val="nil"/>
              <w:left w:val="nil"/>
              <w:bottom w:val="nil"/>
              <w:right w:val="nil"/>
            </w:tcBorders>
            <w:shd w:val="clear" w:color="auto" w:fill="auto"/>
            <w:noWrap/>
            <w:vAlign w:val="bottom"/>
            <w:hideMark/>
          </w:tcPr>
          <w:p w14:paraId="0351D1FC" w14:textId="77777777" w:rsidR="00384794" w:rsidRPr="00E018EF" w:rsidRDefault="00384794" w:rsidP="00E018EF">
            <w:pPr>
              <w:spacing w:line="276" w:lineRule="auto"/>
              <w:jc w:val="both"/>
              <w:rPr>
                <w:rFonts w:ascii="Arial" w:hAnsi="Arial" w:cs="Arial"/>
                <w:bCs/>
                <w:color w:val="000000" w:themeColor="text1"/>
                <w:sz w:val="25"/>
                <w:szCs w:val="25"/>
              </w:rPr>
            </w:pPr>
          </w:p>
        </w:tc>
      </w:tr>
    </w:tbl>
    <w:p w14:paraId="7FCE8A1C" w14:textId="212D70E0"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p>
    <w:p w14:paraId="1E10B244" w14:textId="6CCF8834" w:rsidR="00384794" w:rsidRPr="00E018EF" w:rsidRDefault="00384794" w:rsidP="00E018EF">
      <w:pPr>
        <w:spacing w:line="276" w:lineRule="auto"/>
        <w:jc w:val="both"/>
        <w:rPr>
          <w:rFonts w:ascii="Arial" w:eastAsia="Wingdings" w:hAnsi="Arial" w:cs="Arial"/>
          <w:bCs/>
          <w:color w:val="000000" w:themeColor="text1"/>
          <w:w w:val="85"/>
          <w:sz w:val="25"/>
          <w:szCs w:val="25"/>
          <w:lang w:val="en-US"/>
        </w:rPr>
      </w:pPr>
      <w:r w:rsidRPr="00E018EF">
        <w:rPr>
          <w:rFonts w:ascii="Arial" w:eastAsia="Wingdings" w:hAnsi="Arial" w:cs="Arial"/>
          <w:bCs/>
          <w:color w:val="000000" w:themeColor="text1"/>
          <w:w w:val="85"/>
          <w:sz w:val="25"/>
          <w:szCs w:val="25"/>
        </w:rPr>
        <w:lastRenderedPageBreak/>
        <w:t>The Jarque-Bera test is a statistical test that is used to check whether a given dataset has a normal distribution or not. It is based on the skewness and kurtosis of the dataset and tests the null hypothesis that the data is normally distributed.</w:t>
      </w:r>
      <w:r w:rsidRPr="00E018EF">
        <w:rPr>
          <w:rFonts w:ascii="Arial" w:eastAsia="Wingdings" w:hAnsi="Arial" w:cs="Arial"/>
          <w:bCs/>
          <w:color w:val="000000" w:themeColor="text1"/>
          <w:w w:val="85"/>
          <w:sz w:val="25"/>
          <w:szCs w:val="25"/>
          <w:lang w:val="en-US"/>
        </w:rPr>
        <w:t xml:space="preserve"> </w:t>
      </w:r>
      <w:r w:rsidRPr="00E018EF">
        <w:rPr>
          <w:rFonts w:ascii="Arial" w:eastAsia="Wingdings" w:hAnsi="Arial" w:cs="Arial"/>
          <w:bCs/>
          <w:color w:val="000000" w:themeColor="text1"/>
          <w:w w:val="85"/>
          <w:sz w:val="25"/>
          <w:szCs w:val="25"/>
        </w:rPr>
        <w:t>Critical value which separete 99% and 1%</w:t>
      </w:r>
      <w:r w:rsidRPr="00E018EF">
        <w:rPr>
          <w:rFonts w:ascii="Arial" w:eastAsia="Wingdings" w:hAnsi="Arial" w:cs="Arial"/>
          <w:bCs/>
          <w:color w:val="000000" w:themeColor="text1"/>
          <w:w w:val="85"/>
          <w:sz w:val="25"/>
          <w:szCs w:val="25"/>
          <w:lang w:val="en-US"/>
        </w:rPr>
        <w:t>is 9,21.</w:t>
      </w:r>
    </w:p>
    <w:p w14:paraId="181805FA" w14:textId="019E2CE7" w:rsidR="00384794" w:rsidRPr="00E018EF" w:rsidRDefault="00384794" w:rsidP="00E018EF">
      <w:pPr>
        <w:spacing w:line="276" w:lineRule="auto"/>
        <w:jc w:val="both"/>
        <w:rPr>
          <w:rFonts w:ascii="Arial" w:eastAsia="Wingdings" w:hAnsi="Arial" w:cs="Arial"/>
          <w:bCs/>
          <w:color w:val="000000" w:themeColor="text1"/>
          <w:w w:val="85"/>
          <w:sz w:val="25"/>
          <w:szCs w:val="25"/>
          <w:lang w:val="en-US"/>
        </w:rPr>
      </w:pPr>
      <w:r w:rsidRPr="00384794">
        <w:rPr>
          <w:rFonts w:ascii="Arial" w:eastAsia="Wingdings" w:hAnsi="Arial" w:cs="Arial"/>
          <w:bCs/>
          <w:color w:val="000000" w:themeColor="text1"/>
          <w:w w:val="85"/>
          <w:sz w:val="25"/>
          <w:szCs w:val="25"/>
        </w:rPr>
        <w:t>JB stat&gt; JB crit</w:t>
      </w:r>
      <w:r w:rsidRPr="00E018EF">
        <w:rPr>
          <w:rFonts w:ascii="Arial" w:eastAsia="Wingdings" w:hAnsi="Arial" w:cs="Arial"/>
          <w:bCs/>
          <w:color w:val="000000" w:themeColor="text1"/>
          <w:w w:val="85"/>
          <w:sz w:val="25"/>
          <w:szCs w:val="25"/>
          <w:lang w:val="en-US"/>
        </w:rPr>
        <w:t xml:space="preserve"> (9,31&gt;9,21). I r</w:t>
      </w:r>
      <w:r w:rsidRPr="00384794">
        <w:rPr>
          <w:rFonts w:ascii="Arial" w:eastAsia="Wingdings" w:hAnsi="Arial" w:cs="Arial"/>
          <w:bCs/>
          <w:color w:val="000000" w:themeColor="text1"/>
          <w:w w:val="85"/>
          <w:sz w:val="25"/>
          <w:szCs w:val="25"/>
        </w:rPr>
        <w:t>eject H0</w:t>
      </w:r>
      <w:r w:rsidRPr="00E018EF">
        <w:rPr>
          <w:rFonts w:ascii="Arial" w:eastAsia="Wingdings" w:hAnsi="Arial" w:cs="Arial"/>
          <w:bCs/>
          <w:color w:val="000000" w:themeColor="text1"/>
          <w:w w:val="85"/>
          <w:sz w:val="25"/>
          <w:szCs w:val="25"/>
          <w:lang w:val="en-US"/>
        </w:rPr>
        <w:t xml:space="preserve"> and distribution is not normal. </w:t>
      </w:r>
    </w:p>
    <w:p w14:paraId="2C2D38A4" w14:textId="66473410" w:rsidR="00384794" w:rsidRPr="00E018EF" w:rsidRDefault="00384794" w:rsidP="00E018EF">
      <w:pPr>
        <w:spacing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lang w:val="en-US"/>
        </w:rPr>
        <w:t>V</w:t>
      </w:r>
      <w:r w:rsidRPr="00E018EF">
        <w:rPr>
          <w:rFonts w:ascii="Arial" w:eastAsia="Wingdings" w:hAnsi="Arial" w:cs="Arial"/>
          <w:bCs/>
          <w:color w:val="000000" w:themeColor="text1"/>
          <w:w w:val="85"/>
          <w:sz w:val="25"/>
          <w:szCs w:val="25"/>
        </w:rPr>
        <w:t>alue-at-Risk (VaR) is a statistical measure used to estimate the potential loss that an investment or portfolio of investments may experience over a specified time horizon, with a given level of confidence. It is a measure of risk that is commonly used by financial institutions, such as banks and hedge funds, to manage their exposure to market risk.</w:t>
      </w:r>
    </w:p>
    <w:p w14:paraId="14DD55DE" w14:textId="27612ABB" w:rsidR="00384794" w:rsidRPr="00384794" w:rsidRDefault="00384794" w:rsidP="00E018EF">
      <w:pPr>
        <w:spacing w:line="276" w:lineRule="auto"/>
        <w:jc w:val="both"/>
        <w:rPr>
          <w:rFonts w:ascii="Arial" w:eastAsia="Wingdings" w:hAnsi="Arial" w:cs="Arial"/>
          <w:bCs/>
          <w:color w:val="000000" w:themeColor="text1"/>
          <w:w w:val="85"/>
          <w:sz w:val="25"/>
          <w:szCs w:val="25"/>
          <w:lang w:val="en-US"/>
        </w:rPr>
      </w:pPr>
      <w:r w:rsidRPr="00384794">
        <w:rPr>
          <w:rFonts w:ascii="Arial" w:eastAsia="Wingdings" w:hAnsi="Arial" w:cs="Arial"/>
          <w:bCs/>
          <w:color w:val="000000" w:themeColor="text1"/>
          <w:w w:val="85"/>
          <w:sz w:val="25"/>
          <w:szCs w:val="25"/>
        </w:rPr>
        <w:t>Valued-Risk</w:t>
      </w:r>
      <w:r w:rsidRPr="00E018EF">
        <w:rPr>
          <w:rFonts w:ascii="Arial" w:eastAsia="Wingdings" w:hAnsi="Arial" w:cs="Arial"/>
          <w:bCs/>
          <w:color w:val="000000" w:themeColor="text1"/>
          <w:w w:val="85"/>
          <w:sz w:val="25"/>
          <w:szCs w:val="25"/>
          <w:lang w:val="en-US"/>
        </w:rPr>
        <w:t xml:space="preserve"> analyze has helped</w:t>
      </w:r>
      <w:r w:rsidRPr="00384794">
        <w:rPr>
          <w:rFonts w:ascii="Arial" w:eastAsia="Wingdings" w:hAnsi="Arial" w:cs="Arial"/>
          <w:bCs/>
          <w:color w:val="000000" w:themeColor="text1"/>
          <w:w w:val="85"/>
          <w:sz w:val="25"/>
          <w:szCs w:val="25"/>
        </w:rPr>
        <w:t xml:space="preserve"> </w:t>
      </w:r>
      <w:r w:rsidRPr="00E018EF">
        <w:rPr>
          <w:rFonts w:ascii="Arial" w:eastAsia="Wingdings" w:hAnsi="Arial" w:cs="Arial"/>
          <w:bCs/>
          <w:color w:val="000000" w:themeColor="text1"/>
          <w:w w:val="85"/>
          <w:sz w:val="25"/>
          <w:szCs w:val="25"/>
          <w:lang w:val="en-US"/>
        </w:rPr>
        <w:t>to understand that</w:t>
      </w:r>
      <w:r w:rsidRPr="00384794">
        <w:rPr>
          <w:rFonts w:ascii="Arial" w:eastAsia="Wingdings" w:hAnsi="Arial" w:cs="Arial"/>
          <w:bCs/>
          <w:color w:val="000000" w:themeColor="text1"/>
          <w:w w:val="85"/>
          <w:sz w:val="25"/>
          <w:szCs w:val="25"/>
        </w:rPr>
        <w:t xml:space="preserve"> daily loss </w:t>
      </w:r>
      <w:r w:rsidRPr="00E018EF">
        <w:rPr>
          <w:rFonts w:ascii="Arial" w:eastAsia="Wingdings" w:hAnsi="Arial" w:cs="Arial"/>
          <w:bCs/>
          <w:color w:val="000000" w:themeColor="text1"/>
          <w:w w:val="85"/>
          <w:sz w:val="25"/>
          <w:szCs w:val="25"/>
          <w:lang w:val="en-US"/>
        </w:rPr>
        <w:t xml:space="preserve">of ATC </w:t>
      </w:r>
      <w:r w:rsidRPr="00384794">
        <w:rPr>
          <w:rFonts w:ascii="Arial" w:eastAsia="Wingdings" w:hAnsi="Arial" w:cs="Arial"/>
          <w:bCs/>
          <w:color w:val="000000" w:themeColor="text1"/>
          <w:w w:val="85"/>
          <w:sz w:val="25"/>
          <w:szCs w:val="25"/>
        </w:rPr>
        <w:t>will not exceed -4</w:t>
      </w:r>
      <w:r w:rsidRPr="00E018EF">
        <w:rPr>
          <w:rFonts w:ascii="Arial" w:eastAsia="Wingdings" w:hAnsi="Arial" w:cs="Arial"/>
          <w:bCs/>
          <w:color w:val="000000" w:themeColor="text1"/>
          <w:w w:val="85"/>
          <w:sz w:val="25"/>
          <w:szCs w:val="25"/>
          <w:lang w:val="en-US"/>
        </w:rPr>
        <w:t>,35</w:t>
      </w:r>
      <w:r w:rsidRPr="00384794">
        <w:rPr>
          <w:rFonts w:ascii="Arial" w:eastAsia="Wingdings" w:hAnsi="Arial" w:cs="Arial"/>
          <w:bCs/>
          <w:color w:val="000000" w:themeColor="text1"/>
          <w:w w:val="85"/>
          <w:sz w:val="25"/>
          <w:szCs w:val="25"/>
        </w:rPr>
        <w:t>% with propapility 99</w:t>
      </w:r>
      <w:r w:rsidRPr="00E018EF">
        <w:rPr>
          <w:rFonts w:ascii="Arial" w:eastAsia="Wingdings" w:hAnsi="Arial" w:cs="Arial"/>
          <w:bCs/>
          <w:color w:val="000000" w:themeColor="text1"/>
          <w:w w:val="85"/>
          <w:sz w:val="25"/>
          <w:szCs w:val="25"/>
          <w:lang w:val="en-US"/>
        </w:rPr>
        <w:t>%.</w:t>
      </w:r>
    </w:p>
    <w:p w14:paraId="061EE97A" w14:textId="77777777" w:rsidR="00384794" w:rsidRPr="00E018EF" w:rsidRDefault="00384794" w:rsidP="00E018EF">
      <w:pPr>
        <w:shd w:val="clear" w:color="auto" w:fill="FFFFFF"/>
        <w:spacing w:line="276" w:lineRule="auto"/>
        <w:jc w:val="both"/>
        <w:rPr>
          <w:rFonts w:ascii="Arial" w:eastAsia="Wingdings" w:hAnsi="Arial" w:cs="Arial"/>
          <w:b/>
          <w:color w:val="000000" w:themeColor="text1"/>
          <w:w w:val="85"/>
          <w:sz w:val="25"/>
          <w:szCs w:val="25"/>
        </w:rPr>
      </w:pPr>
    </w:p>
    <w:p w14:paraId="66731738" w14:textId="3244CA3C" w:rsidR="009058F8" w:rsidRPr="00E018EF" w:rsidRDefault="00384794" w:rsidP="00E018EF">
      <w:pPr>
        <w:shd w:val="clear" w:color="auto" w:fill="FFFFFF"/>
        <w:spacing w:line="276" w:lineRule="auto"/>
        <w:jc w:val="both"/>
        <w:rPr>
          <w:rFonts w:ascii="Arial" w:eastAsia="Wingdings" w:hAnsi="Arial" w:cs="Arial"/>
          <w:b/>
          <w:color w:val="000000" w:themeColor="text1"/>
          <w:w w:val="85"/>
          <w:sz w:val="25"/>
          <w:szCs w:val="25"/>
        </w:rPr>
      </w:pPr>
      <w:r w:rsidRPr="00E018EF">
        <w:rPr>
          <w:rFonts w:ascii="Arial" w:eastAsia="Wingdings" w:hAnsi="Arial" w:cs="Arial"/>
          <w:b/>
          <w:color w:val="000000" w:themeColor="text1"/>
          <w:w w:val="85"/>
          <w:sz w:val="25"/>
          <w:szCs w:val="25"/>
          <w:lang w:val="en-US"/>
        </w:rPr>
        <w:t>O</w:t>
      </w:r>
      <w:r w:rsidR="009058F8" w:rsidRPr="00E018EF">
        <w:rPr>
          <w:rFonts w:ascii="Arial" w:eastAsia="Wingdings" w:hAnsi="Arial" w:cs="Arial"/>
          <w:b/>
          <w:color w:val="000000" w:themeColor="text1"/>
          <w:w w:val="85"/>
          <w:sz w:val="25"/>
          <w:szCs w:val="25"/>
        </w:rPr>
        <w:t>verall conclusion.</w:t>
      </w:r>
    </w:p>
    <w:p w14:paraId="06ABF797" w14:textId="6AEFADE8"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p>
    <w:p w14:paraId="17F8F56F" w14:textId="52B6E1B2" w:rsidR="00384794" w:rsidRPr="00384794" w:rsidRDefault="00384794" w:rsidP="00E018EF">
      <w:pPr>
        <w:numPr>
          <w:ilvl w:val="0"/>
          <w:numId w:val="10"/>
        </w:numPr>
        <w:shd w:val="clear" w:color="auto" w:fill="FFFFFF"/>
        <w:spacing w:line="276" w:lineRule="auto"/>
        <w:jc w:val="both"/>
        <w:rPr>
          <w:rFonts w:ascii="Arial" w:eastAsia="Wingdings" w:hAnsi="Arial" w:cs="Arial"/>
          <w:bCs/>
          <w:color w:val="000000" w:themeColor="text1"/>
          <w:w w:val="85"/>
          <w:sz w:val="25"/>
          <w:szCs w:val="25"/>
        </w:rPr>
      </w:pPr>
      <w:r w:rsidRPr="00384794">
        <w:rPr>
          <w:rFonts w:ascii="Arial" w:eastAsia="Wingdings" w:hAnsi="Arial" w:cs="Arial"/>
          <w:bCs/>
          <w:color w:val="000000" w:themeColor="text1"/>
          <w:w w:val="85"/>
          <w:sz w:val="25"/>
          <w:szCs w:val="25"/>
        </w:rPr>
        <w:t>Daily loss will not exceed -4</w:t>
      </w:r>
      <w:r w:rsidRPr="00E018EF">
        <w:rPr>
          <w:rFonts w:ascii="Arial" w:eastAsia="Wingdings" w:hAnsi="Arial" w:cs="Arial"/>
          <w:bCs/>
          <w:color w:val="000000" w:themeColor="text1"/>
          <w:w w:val="85"/>
          <w:sz w:val="25"/>
          <w:szCs w:val="25"/>
          <w:lang w:val="en-US"/>
        </w:rPr>
        <w:t>,35</w:t>
      </w:r>
      <w:r w:rsidRPr="00384794">
        <w:rPr>
          <w:rFonts w:ascii="Arial" w:eastAsia="Wingdings" w:hAnsi="Arial" w:cs="Arial"/>
          <w:bCs/>
          <w:color w:val="000000" w:themeColor="text1"/>
          <w:w w:val="85"/>
          <w:sz w:val="25"/>
          <w:szCs w:val="25"/>
        </w:rPr>
        <w:t>% with propapility 99%</w:t>
      </w:r>
    </w:p>
    <w:p w14:paraId="44EC542D" w14:textId="1D13279B" w:rsidR="00384794" w:rsidRPr="00384794" w:rsidRDefault="00384794" w:rsidP="00E018EF">
      <w:pPr>
        <w:numPr>
          <w:ilvl w:val="0"/>
          <w:numId w:val="10"/>
        </w:numPr>
        <w:shd w:val="clear" w:color="auto" w:fill="FFFFFF"/>
        <w:spacing w:line="276" w:lineRule="auto"/>
        <w:jc w:val="both"/>
        <w:rPr>
          <w:rFonts w:ascii="Arial" w:eastAsia="Wingdings" w:hAnsi="Arial" w:cs="Arial"/>
          <w:bCs/>
          <w:color w:val="000000" w:themeColor="text1"/>
          <w:w w:val="85"/>
          <w:sz w:val="25"/>
          <w:szCs w:val="25"/>
        </w:rPr>
      </w:pPr>
      <w:r w:rsidRPr="00384794">
        <w:rPr>
          <w:rFonts w:ascii="Arial" w:eastAsia="Wingdings" w:hAnsi="Arial" w:cs="Arial"/>
          <w:bCs/>
          <w:color w:val="000000" w:themeColor="text1"/>
          <w:w w:val="85"/>
          <w:sz w:val="25"/>
          <w:szCs w:val="25"/>
          <w:lang w:val="en-GB"/>
        </w:rPr>
        <w:t>R</w:t>
      </w:r>
      <w:r w:rsidRPr="00384794">
        <w:rPr>
          <w:rFonts w:ascii="Arial" w:eastAsia="Wingdings" w:hAnsi="Arial" w:cs="Arial"/>
          <w:bCs/>
          <w:color w:val="000000" w:themeColor="text1"/>
          <w:w w:val="85"/>
          <w:sz w:val="25"/>
          <w:szCs w:val="25"/>
        </w:rPr>
        <w:t xml:space="preserve">eject </w:t>
      </w:r>
      <w:r w:rsidRPr="00E018EF">
        <w:rPr>
          <w:rFonts w:ascii="Arial" w:eastAsia="Wingdings" w:hAnsi="Arial" w:cs="Arial"/>
          <w:bCs/>
          <w:color w:val="000000" w:themeColor="text1"/>
          <w:w w:val="85"/>
          <w:sz w:val="25"/>
          <w:szCs w:val="25"/>
          <w:lang w:val="en-US"/>
        </w:rPr>
        <w:t xml:space="preserve">H0 for </w:t>
      </w:r>
      <w:r w:rsidRPr="00E018EF">
        <w:rPr>
          <w:rFonts w:ascii="Arial" w:hAnsi="Arial" w:cs="Arial"/>
          <w:bCs/>
          <w:color w:val="000000" w:themeColor="text1"/>
          <w:sz w:val="25"/>
          <w:szCs w:val="25"/>
        </w:rPr>
        <w:t>JARQUE-BERA STATISTIC</w:t>
      </w:r>
      <w:r w:rsidRPr="00E018EF">
        <w:rPr>
          <w:rFonts w:ascii="Arial" w:hAnsi="Arial" w:cs="Arial"/>
          <w:bCs/>
          <w:color w:val="000000" w:themeColor="text1"/>
          <w:sz w:val="25"/>
          <w:szCs w:val="25"/>
          <w:lang w:val="en-US"/>
        </w:rPr>
        <w:t xml:space="preserve"> TEST and understand that data is not normally distributed</w:t>
      </w:r>
    </w:p>
    <w:p w14:paraId="39662CAC" w14:textId="5298D502" w:rsidR="00384794" w:rsidRPr="00384794" w:rsidRDefault="00384794" w:rsidP="00E018EF">
      <w:pPr>
        <w:numPr>
          <w:ilvl w:val="0"/>
          <w:numId w:val="10"/>
        </w:numPr>
        <w:shd w:val="clear" w:color="auto" w:fill="FFFFFF"/>
        <w:spacing w:line="276" w:lineRule="auto"/>
        <w:jc w:val="both"/>
        <w:rPr>
          <w:rFonts w:ascii="Arial" w:eastAsia="Wingdings" w:hAnsi="Arial" w:cs="Arial"/>
          <w:bCs/>
          <w:color w:val="000000" w:themeColor="text1"/>
          <w:w w:val="85"/>
          <w:sz w:val="25"/>
          <w:szCs w:val="25"/>
        </w:rPr>
      </w:pPr>
      <w:r w:rsidRPr="00384794">
        <w:rPr>
          <w:rFonts w:ascii="Arial" w:eastAsia="Wingdings" w:hAnsi="Arial" w:cs="Arial"/>
          <w:bCs/>
          <w:color w:val="000000" w:themeColor="text1"/>
          <w:w w:val="85"/>
          <w:sz w:val="25"/>
          <w:szCs w:val="25"/>
          <w:lang w:val="en-GB"/>
        </w:rPr>
        <w:t>Min</w:t>
      </w:r>
      <w:r w:rsidRPr="00E018EF">
        <w:rPr>
          <w:rFonts w:ascii="Arial" w:hAnsi="Arial" w:cs="Arial"/>
          <w:bCs/>
          <w:color w:val="000000" w:themeColor="text1"/>
          <w:sz w:val="25"/>
          <w:szCs w:val="25"/>
          <w:lang w:val="en-US"/>
        </w:rPr>
        <w:t xml:space="preserve"> </w:t>
      </w:r>
      <w:r w:rsidRPr="00705B54">
        <w:rPr>
          <w:rFonts w:ascii="Arial" w:hAnsi="Arial" w:cs="Arial"/>
          <w:bCs/>
          <w:color w:val="000000" w:themeColor="text1"/>
          <w:sz w:val="25"/>
          <w:szCs w:val="25"/>
        </w:rPr>
        <w:t>-6,65</w:t>
      </w:r>
      <w:r w:rsidRPr="00E018EF">
        <w:rPr>
          <w:rFonts w:ascii="Arial" w:hAnsi="Arial" w:cs="Arial"/>
          <w:bCs/>
          <w:color w:val="000000" w:themeColor="text1"/>
          <w:sz w:val="25"/>
          <w:szCs w:val="25"/>
        </w:rPr>
        <w:t xml:space="preserve"> %</w:t>
      </w:r>
      <w:r w:rsidRPr="00384794">
        <w:rPr>
          <w:rFonts w:ascii="Arial" w:eastAsia="Wingdings" w:hAnsi="Arial" w:cs="Arial"/>
          <w:bCs/>
          <w:color w:val="000000" w:themeColor="text1"/>
          <w:w w:val="85"/>
          <w:sz w:val="25"/>
          <w:szCs w:val="25"/>
          <w:lang w:val="en-GB"/>
        </w:rPr>
        <w:t>– the worst return in two years (per 1 day)</w:t>
      </w:r>
      <w:r w:rsidRPr="00E018EF">
        <w:rPr>
          <w:rFonts w:ascii="Arial" w:eastAsia="Wingdings" w:hAnsi="Arial" w:cs="Arial"/>
          <w:bCs/>
          <w:color w:val="000000" w:themeColor="text1"/>
          <w:w w:val="85"/>
          <w:sz w:val="25"/>
          <w:szCs w:val="25"/>
          <w:lang w:val="en-GB"/>
        </w:rPr>
        <w:t>, investors should be ready to face with that amount of loses.</w:t>
      </w:r>
    </w:p>
    <w:p w14:paraId="1FCC92A9" w14:textId="1D988FDE" w:rsidR="00384794" w:rsidRPr="00384794" w:rsidRDefault="00384794" w:rsidP="00E018EF">
      <w:pPr>
        <w:numPr>
          <w:ilvl w:val="0"/>
          <w:numId w:val="10"/>
        </w:numPr>
        <w:shd w:val="clear" w:color="auto" w:fill="FFFFFF"/>
        <w:spacing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lang w:val="en-GB"/>
        </w:rPr>
        <w:t xml:space="preserve">Positive </w:t>
      </w:r>
      <w:r w:rsidRPr="00384794">
        <w:rPr>
          <w:rFonts w:ascii="Arial" w:eastAsia="Wingdings" w:hAnsi="Arial" w:cs="Arial"/>
          <w:bCs/>
          <w:color w:val="000000" w:themeColor="text1"/>
          <w:w w:val="85"/>
          <w:sz w:val="25"/>
          <w:szCs w:val="25"/>
          <w:lang w:val="en-GB"/>
        </w:rPr>
        <w:t>skewness</w:t>
      </w:r>
      <w:r w:rsidRPr="00E018EF">
        <w:rPr>
          <w:rFonts w:ascii="Arial" w:eastAsia="Wingdings" w:hAnsi="Arial" w:cs="Arial"/>
          <w:bCs/>
          <w:color w:val="000000" w:themeColor="text1"/>
          <w:w w:val="85"/>
          <w:sz w:val="25"/>
          <w:szCs w:val="25"/>
          <w:lang w:val="en-GB"/>
        </w:rPr>
        <w:t xml:space="preserve"> (extreme events relieve to positive returns in most of the cases)</w:t>
      </w:r>
      <w:r w:rsidRPr="00384794">
        <w:rPr>
          <w:rFonts w:ascii="Arial" w:eastAsia="Wingdings" w:hAnsi="Arial" w:cs="Arial"/>
          <w:bCs/>
          <w:color w:val="000000" w:themeColor="text1"/>
          <w:w w:val="85"/>
          <w:sz w:val="25"/>
          <w:szCs w:val="25"/>
          <w:lang w:val="en-GB"/>
        </w:rPr>
        <w:t xml:space="preserve">, median return </w:t>
      </w:r>
      <w:r w:rsidRPr="00705B54">
        <w:rPr>
          <w:rFonts w:ascii="Arial" w:hAnsi="Arial" w:cs="Arial"/>
          <w:bCs/>
          <w:color w:val="000000" w:themeColor="text1"/>
          <w:sz w:val="25"/>
          <w:szCs w:val="25"/>
        </w:rPr>
        <w:t>0,03830</w:t>
      </w:r>
      <w:r w:rsidRPr="00E018EF">
        <w:rPr>
          <w:rFonts w:ascii="Arial" w:hAnsi="Arial" w:cs="Arial"/>
          <w:bCs/>
          <w:color w:val="000000" w:themeColor="text1"/>
          <w:sz w:val="25"/>
          <w:szCs w:val="25"/>
          <w:lang w:val="en-US"/>
        </w:rPr>
        <w:t xml:space="preserve"> %</w:t>
      </w:r>
      <w:r w:rsidRPr="00384794">
        <w:rPr>
          <w:rFonts w:ascii="Arial" w:eastAsia="Wingdings" w:hAnsi="Arial" w:cs="Arial"/>
          <w:bCs/>
          <w:color w:val="000000" w:themeColor="text1"/>
          <w:w w:val="85"/>
          <w:sz w:val="25"/>
          <w:szCs w:val="25"/>
        </w:rPr>
        <w:t xml:space="preserve"> per day</w:t>
      </w:r>
      <w:r w:rsidRPr="00E018EF">
        <w:rPr>
          <w:rFonts w:ascii="Arial" w:eastAsia="Wingdings" w:hAnsi="Arial" w:cs="Arial"/>
          <w:bCs/>
          <w:color w:val="000000" w:themeColor="text1"/>
          <w:w w:val="85"/>
          <w:sz w:val="25"/>
          <w:szCs w:val="25"/>
          <w:lang w:val="en-US"/>
        </w:rPr>
        <w:t xml:space="preserve"> (average return (not affected by extreme events))</w:t>
      </w:r>
      <w:r w:rsidRPr="00384794">
        <w:rPr>
          <w:rFonts w:ascii="Arial" w:eastAsia="Wingdings" w:hAnsi="Arial" w:cs="Arial"/>
          <w:bCs/>
          <w:color w:val="000000" w:themeColor="text1"/>
          <w:w w:val="85"/>
          <w:sz w:val="25"/>
          <w:szCs w:val="25"/>
        </w:rPr>
        <w:t xml:space="preserve">, company </w:t>
      </w:r>
      <w:r w:rsidRPr="00384794">
        <w:rPr>
          <w:rFonts w:ascii="Arial" w:eastAsia="Wingdings" w:hAnsi="Arial" w:cs="Arial"/>
          <w:bCs/>
          <w:color w:val="000000" w:themeColor="text1"/>
          <w:w w:val="85"/>
          <w:sz w:val="25"/>
          <w:szCs w:val="25"/>
          <w:lang w:val="en-GB"/>
        </w:rPr>
        <w:t>experienced fewer extreme price movements (kurtosis less than 3)</w:t>
      </w:r>
    </w:p>
    <w:p w14:paraId="06231E83" w14:textId="196A7C0F" w:rsidR="00384794" w:rsidRPr="00E018EF" w:rsidRDefault="00384794" w:rsidP="00E018EF">
      <w:pPr>
        <w:numPr>
          <w:ilvl w:val="0"/>
          <w:numId w:val="10"/>
        </w:numPr>
        <w:shd w:val="clear" w:color="auto" w:fill="FFFFFF"/>
        <w:spacing w:line="276" w:lineRule="auto"/>
        <w:jc w:val="both"/>
        <w:rPr>
          <w:rFonts w:ascii="Arial" w:eastAsia="Wingdings" w:hAnsi="Arial" w:cs="Arial"/>
          <w:bCs/>
          <w:color w:val="000000" w:themeColor="text1"/>
          <w:w w:val="85"/>
          <w:sz w:val="25"/>
          <w:szCs w:val="25"/>
        </w:rPr>
      </w:pPr>
      <w:r w:rsidRPr="00384794">
        <w:rPr>
          <w:rFonts w:ascii="Arial" w:eastAsia="Wingdings" w:hAnsi="Arial" w:cs="Arial"/>
          <w:bCs/>
          <w:color w:val="000000" w:themeColor="text1"/>
          <w:w w:val="85"/>
          <w:sz w:val="25"/>
          <w:szCs w:val="25"/>
          <w:lang w:val="en-GB"/>
        </w:rPr>
        <w:t xml:space="preserve">Deviation from the mean return per day is </w:t>
      </w:r>
      <w:r w:rsidRPr="00705B54">
        <w:rPr>
          <w:rFonts w:ascii="Arial" w:hAnsi="Arial" w:cs="Arial"/>
          <w:bCs/>
          <w:color w:val="000000" w:themeColor="text1"/>
          <w:sz w:val="25"/>
          <w:szCs w:val="25"/>
        </w:rPr>
        <w:t>1,69758</w:t>
      </w:r>
      <w:r w:rsidRPr="00E018EF">
        <w:rPr>
          <w:rFonts w:ascii="Arial" w:hAnsi="Arial" w:cs="Arial"/>
          <w:bCs/>
          <w:color w:val="000000" w:themeColor="text1"/>
          <w:sz w:val="25"/>
          <w:szCs w:val="25"/>
          <w:lang w:val="en-US"/>
        </w:rPr>
        <w:t xml:space="preserve"> %</w:t>
      </w:r>
    </w:p>
    <w:p w14:paraId="25260CF0" w14:textId="22D800B2" w:rsidR="00384794" w:rsidRPr="00E018EF" w:rsidRDefault="00384794" w:rsidP="00E018EF">
      <w:pPr>
        <w:numPr>
          <w:ilvl w:val="0"/>
          <w:numId w:val="10"/>
        </w:numPr>
        <w:shd w:val="clear" w:color="auto" w:fill="FFFFFF"/>
        <w:spacing w:line="276" w:lineRule="auto"/>
        <w:jc w:val="both"/>
        <w:rPr>
          <w:rFonts w:ascii="Arial" w:eastAsia="Wingdings" w:hAnsi="Arial" w:cs="Arial"/>
          <w:bCs/>
          <w:color w:val="000000" w:themeColor="text1"/>
          <w:w w:val="85"/>
          <w:sz w:val="25"/>
          <w:szCs w:val="25"/>
        </w:rPr>
      </w:pPr>
      <w:r w:rsidRPr="00E018EF">
        <w:rPr>
          <w:rFonts w:ascii="Arial" w:hAnsi="Arial" w:cs="Arial"/>
          <w:bCs/>
          <w:color w:val="000000" w:themeColor="text1"/>
          <w:sz w:val="25"/>
          <w:szCs w:val="25"/>
          <w:lang w:val="en-US"/>
        </w:rPr>
        <w:t xml:space="preserve">Company is not risky, and its returns are stable and consistent </w:t>
      </w:r>
    </w:p>
    <w:p w14:paraId="07EF8D27" w14:textId="3F36FE45" w:rsidR="00384794" w:rsidRPr="00E018EF" w:rsidRDefault="00384794" w:rsidP="00E018EF">
      <w:pPr>
        <w:shd w:val="clear" w:color="auto" w:fill="FFFFFF"/>
        <w:spacing w:line="276" w:lineRule="auto"/>
        <w:jc w:val="both"/>
        <w:rPr>
          <w:rFonts w:ascii="Arial" w:eastAsia="Wingdings" w:hAnsi="Arial" w:cs="Arial"/>
          <w:b/>
          <w:color w:val="000000" w:themeColor="text1"/>
          <w:w w:val="85"/>
          <w:sz w:val="25"/>
          <w:szCs w:val="25"/>
        </w:rPr>
      </w:pPr>
    </w:p>
    <w:p w14:paraId="3BC56227" w14:textId="277A77C7" w:rsidR="00E018EF" w:rsidRPr="00E018EF" w:rsidRDefault="00E018EF" w:rsidP="00E018EF">
      <w:pPr>
        <w:shd w:val="clear" w:color="auto" w:fill="FFFFFF"/>
        <w:spacing w:line="276" w:lineRule="auto"/>
        <w:jc w:val="both"/>
        <w:rPr>
          <w:rFonts w:ascii="Arial" w:eastAsia="Wingdings" w:hAnsi="Arial" w:cs="Arial"/>
          <w:b/>
          <w:color w:val="000000" w:themeColor="text1"/>
          <w:w w:val="85"/>
          <w:sz w:val="25"/>
          <w:szCs w:val="25"/>
          <w:lang w:val="en-US"/>
        </w:rPr>
      </w:pPr>
      <w:r w:rsidRPr="00E018EF">
        <w:rPr>
          <w:rFonts w:ascii="Arial" w:eastAsia="Wingdings" w:hAnsi="Arial" w:cs="Arial"/>
          <w:b/>
          <w:color w:val="000000" w:themeColor="text1"/>
          <w:w w:val="85"/>
          <w:sz w:val="25"/>
          <w:szCs w:val="25"/>
          <w:lang w:val="en-US"/>
        </w:rPr>
        <w:t xml:space="preserve">Additional </w:t>
      </w:r>
    </w:p>
    <w:p w14:paraId="2051D12E" w14:textId="7C3F52C9"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r w:rsidRPr="00E018EF">
        <w:rPr>
          <w:rFonts w:ascii="Arial" w:eastAsia="Wingdings" w:hAnsi="Arial" w:cs="Arial"/>
          <w:bCs/>
          <w:color w:val="000000" w:themeColor="text1"/>
          <w:w w:val="85"/>
          <w:sz w:val="25"/>
          <w:szCs w:val="25"/>
          <w:lang w:val="en-US"/>
        </w:rPr>
        <w:t xml:space="preserve">Kolmogorov-Smirnov Test </w:t>
      </w:r>
    </w:p>
    <w:p w14:paraId="5C5FEA1B"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r w:rsidRPr="00E018EF">
        <w:rPr>
          <w:rFonts w:ascii="Arial" w:eastAsia="Wingdings" w:hAnsi="Arial" w:cs="Arial"/>
          <w:bCs/>
          <w:color w:val="000000" w:themeColor="text1"/>
          <w:w w:val="85"/>
          <w:sz w:val="25"/>
          <w:szCs w:val="25"/>
          <w:lang w:val="en-US"/>
        </w:rPr>
        <w:t xml:space="preserve">It is another alternative to determine if the data is normally distributed. Level of significance for the test 1%. </w:t>
      </w:r>
    </w:p>
    <w:p w14:paraId="2457D5F8" w14:textId="7892B9B8"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r w:rsidRPr="00E018EF">
        <w:rPr>
          <w:rFonts w:ascii="Arial" w:eastAsia="Wingdings" w:hAnsi="Arial" w:cs="Arial"/>
          <w:bCs/>
          <w:color w:val="000000" w:themeColor="text1"/>
          <w:w w:val="85"/>
          <w:sz w:val="25"/>
          <w:szCs w:val="25"/>
          <w:lang w:val="en-US"/>
        </w:rPr>
        <w:t xml:space="preserve">I have calculated mean, standard deviation, find ranking for the data. Critical value for Kolmogorov-Smirnov Test with 1% significance and 503 data points is </w:t>
      </w:r>
      <w:r w:rsidRPr="00E018EF">
        <w:rPr>
          <w:rFonts w:ascii="Arial" w:hAnsi="Arial" w:cs="Arial"/>
          <w:color w:val="000000"/>
          <w:sz w:val="25"/>
          <w:szCs w:val="25"/>
        </w:rPr>
        <w:t>0,07267811</w:t>
      </w:r>
      <w:r w:rsidRPr="00E018EF">
        <w:rPr>
          <w:rFonts w:ascii="Arial" w:hAnsi="Arial" w:cs="Arial"/>
          <w:color w:val="000000"/>
          <w:sz w:val="25"/>
          <w:szCs w:val="25"/>
          <w:lang w:val="en-US"/>
        </w:rPr>
        <w:t xml:space="preserve">. Max Difference is more than </w:t>
      </w:r>
      <w:r w:rsidRPr="00E018EF">
        <w:rPr>
          <w:rFonts w:ascii="Arial" w:eastAsia="Wingdings" w:hAnsi="Arial" w:cs="Arial"/>
          <w:bCs/>
          <w:color w:val="000000" w:themeColor="text1"/>
          <w:w w:val="85"/>
          <w:sz w:val="25"/>
          <w:szCs w:val="25"/>
          <w:lang w:val="en-US"/>
        </w:rPr>
        <w:t xml:space="preserve">critical value – distribution is not normal. </w:t>
      </w:r>
    </w:p>
    <w:p w14:paraId="5677AE5E"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p>
    <w:tbl>
      <w:tblPr>
        <w:tblW w:w="5000" w:type="pct"/>
        <w:tblLook w:val="04A0" w:firstRow="1" w:lastRow="0" w:firstColumn="1" w:lastColumn="0" w:noHBand="0" w:noVBand="1"/>
      </w:tblPr>
      <w:tblGrid>
        <w:gridCol w:w="1836"/>
        <w:gridCol w:w="2216"/>
        <w:gridCol w:w="3215"/>
        <w:gridCol w:w="2538"/>
        <w:gridCol w:w="2815"/>
        <w:gridCol w:w="1770"/>
      </w:tblGrid>
      <w:tr w:rsidR="00E018EF" w:rsidRPr="00E018EF" w14:paraId="2B287313" w14:textId="77777777" w:rsidTr="00E018EF">
        <w:trPr>
          <w:trHeight w:val="320"/>
        </w:trPr>
        <w:tc>
          <w:tcPr>
            <w:tcW w:w="6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62D8A"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Rank</w:t>
            </w:r>
          </w:p>
        </w:tc>
        <w:tc>
          <w:tcPr>
            <w:tcW w:w="770" w:type="pct"/>
            <w:tcBorders>
              <w:top w:val="single" w:sz="4" w:space="0" w:color="auto"/>
              <w:left w:val="nil"/>
              <w:bottom w:val="single" w:sz="4" w:space="0" w:color="auto"/>
              <w:right w:val="single" w:sz="4" w:space="0" w:color="auto"/>
            </w:tcBorders>
            <w:shd w:val="clear" w:color="auto" w:fill="auto"/>
            <w:noWrap/>
            <w:vAlign w:val="bottom"/>
            <w:hideMark/>
          </w:tcPr>
          <w:p w14:paraId="200E0F48"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(Rank-1)/N</w:t>
            </w:r>
          </w:p>
        </w:tc>
        <w:tc>
          <w:tcPr>
            <w:tcW w:w="1117" w:type="pct"/>
            <w:tcBorders>
              <w:top w:val="single" w:sz="4" w:space="0" w:color="auto"/>
              <w:left w:val="nil"/>
              <w:bottom w:val="single" w:sz="4" w:space="0" w:color="auto"/>
              <w:right w:val="single" w:sz="4" w:space="0" w:color="auto"/>
            </w:tcBorders>
            <w:shd w:val="clear" w:color="auto" w:fill="auto"/>
            <w:noWrap/>
            <w:vAlign w:val="bottom"/>
            <w:hideMark/>
          </w:tcPr>
          <w:p w14:paraId="566CF248"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Normal Distribution</w:t>
            </w:r>
          </w:p>
        </w:tc>
        <w:tc>
          <w:tcPr>
            <w:tcW w:w="882" w:type="pct"/>
            <w:tcBorders>
              <w:top w:val="single" w:sz="4" w:space="0" w:color="auto"/>
              <w:left w:val="nil"/>
              <w:bottom w:val="single" w:sz="4" w:space="0" w:color="auto"/>
              <w:right w:val="single" w:sz="4" w:space="0" w:color="auto"/>
            </w:tcBorders>
            <w:shd w:val="clear" w:color="auto" w:fill="auto"/>
            <w:noWrap/>
            <w:vAlign w:val="bottom"/>
            <w:hideMark/>
          </w:tcPr>
          <w:p w14:paraId="2C9785AE"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Difference</w:t>
            </w:r>
          </w:p>
        </w:tc>
        <w:tc>
          <w:tcPr>
            <w:tcW w:w="978" w:type="pct"/>
            <w:tcBorders>
              <w:top w:val="single" w:sz="4" w:space="0" w:color="auto"/>
              <w:left w:val="nil"/>
              <w:bottom w:val="single" w:sz="4" w:space="0" w:color="auto"/>
              <w:right w:val="single" w:sz="4" w:space="0" w:color="auto"/>
            </w:tcBorders>
            <w:shd w:val="clear" w:color="auto" w:fill="auto"/>
            <w:noWrap/>
            <w:vAlign w:val="bottom"/>
            <w:hideMark/>
          </w:tcPr>
          <w:p w14:paraId="4BF02FAA"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KS</w:t>
            </w:r>
          </w:p>
        </w:tc>
        <w:tc>
          <w:tcPr>
            <w:tcW w:w="615" w:type="pct"/>
            <w:tcBorders>
              <w:top w:val="single" w:sz="4" w:space="0" w:color="auto"/>
              <w:left w:val="nil"/>
              <w:bottom w:val="single" w:sz="4" w:space="0" w:color="auto"/>
              <w:right w:val="single" w:sz="4" w:space="0" w:color="auto"/>
            </w:tcBorders>
            <w:shd w:val="clear" w:color="auto" w:fill="auto"/>
            <w:noWrap/>
            <w:vAlign w:val="bottom"/>
            <w:hideMark/>
          </w:tcPr>
          <w:p w14:paraId="58616339"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KS (normal)</w:t>
            </w:r>
          </w:p>
        </w:tc>
      </w:tr>
      <w:tr w:rsidR="00E018EF" w:rsidRPr="00E018EF" w14:paraId="1BB9FDBF" w14:textId="77777777" w:rsidTr="00E018EF">
        <w:trPr>
          <w:trHeight w:val="320"/>
        </w:trPr>
        <w:tc>
          <w:tcPr>
            <w:tcW w:w="638" w:type="pct"/>
            <w:tcBorders>
              <w:top w:val="nil"/>
              <w:left w:val="single" w:sz="4" w:space="0" w:color="auto"/>
              <w:bottom w:val="single" w:sz="4" w:space="0" w:color="auto"/>
              <w:right w:val="single" w:sz="4" w:space="0" w:color="auto"/>
            </w:tcBorders>
            <w:shd w:val="clear" w:color="auto" w:fill="auto"/>
            <w:noWrap/>
            <w:vAlign w:val="bottom"/>
            <w:hideMark/>
          </w:tcPr>
          <w:p w14:paraId="49D372EC"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 </w:t>
            </w:r>
          </w:p>
        </w:tc>
        <w:tc>
          <w:tcPr>
            <w:tcW w:w="770" w:type="pct"/>
            <w:tcBorders>
              <w:top w:val="nil"/>
              <w:left w:val="nil"/>
              <w:bottom w:val="single" w:sz="4" w:space="0" w:color="auto"/>
              <w:right w:val="single" w:sz="4" w:space="0" w:color="auto"/>
            </w:tcBorders>
            <w:shd w:val="clear" w:color="auto" w:fill="auto"/>
            <w:noWrap/>
            <w:vAlign w:val="bottom"/>
            <w:hideMark/>
          </w:tcPr>
          <w:p w14:paraId="4FECAB77"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 </w:t>
            </w:r>
          </w:p>
        </w:tc>
        <w:tc>
          <w:tcPr>
            <w:tcW w:w="1117" w:type="pct"/>
            <w:tcBorders>
              <w:top w:val="nil"/>
              <w:left w:val="nil"/>
              <w:bottom w:val="single" w:sz="4" w:space="0" w:color="auto"/>
              <w:right w:val="single" w:sz="4" w:space="0" w:color="auto"/>
            </w:tcBorders>
            <w:shd w:val="clear" w:color="auto" w:fill="auto"/>
            <w:noWrap/>
            <w:vAlign w:val="bottom"/>
            <w:hideMark/>
          </w:tcPr>
          <w:p w14:paraId="457AC501"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 </w:t>
            </w:r>
          </w:p>
        </w:tc>
        <w:tc>
          <w:tcPr>
            <w:tcW w:w="882" w:type="pct"/>
            <w:tcBorders>
              <w:top w:val="nil"/>
              <w:left w:val="nil"/>
              <w:bottom w:val="single" w:sz="4" w:space="0" w:color="auto"/>
              <w:right w:val="single" w:sz="4" w:space="0" w:color="auto"/>
            </w:tcBorders>
            <w:shd w:val="clear" w:color="auto" w:fill="auto"/>
            <w:noWrap/>
            <w:vAlign w:val="bottom"/>
            <w:hideMark/>
          </w:tcPr>
          <w:p w14:paraId="11E489DD"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 </w:t>
            </w:r>
          </w:p>
        </w:tc>
        <w:tc>
          <w:tcPr>
            <w:tcW w:w="978" w:type="pct"/>
            <w:tcBorders>
              <w:top w:val="nil"/>
              <w:left w:val="nil"/>
              <w:bottom w:val="single" w:sz="4" w:space="0" w:color="auto"/>
              <w:right w:val="single" w:sz="4" w:space="0" w:color="auto"/>
            </w:tcBorders>
            <w:shd w:val="clear" w:color="auto" w:fill="auto"/>
            <w:noWrap/>
            <w:vAlign w:val="bottom"/>
            <w:hideMark/>
          </w:tcPr>
          <w:p w14:paraId="0789963D"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for the company</w:t>
            </w:r>
          </w:p>
        </w:tc>
        <w:tc>
          <w:tcPr>
            <w:tcW w:w="615" w:type="pct"/>
            <w:tcBorders>
              <w:top w:val="nil"/>
              <w:left w:val="nil"/>
              <w:bottom w:val="single" w:sz="4" w:space="0" w:color="auto"/>
              <w:right w:val="single" w:sz="4" w:space="0" w:color="auto"/>
            </w:tcBorders>
            <w:shd w:val="clear" w:color="auto" w:fill="auto"/>
            <w:noWrap/>
            <w:vAlign w:val="bottom"/>
            <w:hideMark/>
          </w:tcPr>
          <w:p w14:paraId="4455696B"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0,01</w:t>
            </w:r>
          </w:p>
        </w:tc>
      </w:tr>
      <w:tr w:rsidR="00E018EF" w:rsidRPr="00E018EF" w14:paraId="0DBB72D8" w14:textId="77777777" w:rsidTr="00E018EF">
        <w:trPr>
          <w:trHeight w:val="67"/>
        </w:trPr>
        <w:tc>
          <w:tcPr>
            <w:tcW w:w="638" w:type="pct"/>
            <w:tcBorders>
              <w:top w:val="nil"/>
              <w:left w:val="single" w:sz="4" w:space="0" w:color="auto"/>
              <w:bottom w:val="single" w:sz="4" w:space="0" w:color="auto"/>
              <w:right w:val="single" w:sz="4" w:space="0" w:color="auto"/>
            </w:tcBorders>
            <w:shd w:val="clear" w:color="auto" w:fill="auto"/>
            <w:noWrap/>
            <w:vAlign w:val="bottom"/>
            <w:hideMark/>
          </w:tcPr>
          <w:p w14:paraId="494853FD"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1</w:t>
            </w:r>
          </w:p>
        </w:tc>
        <w:tc>
          <w:tcPr>
            <w:tcW w:w="770" w:type="pct"/>
            <w:tcBorders>
              <w:top w:val="nil"/>
              <w:left w:val="nil"/>
              <w:bottom w:val="single" w:sz="4" w:space="0" w:color="auto"/>
              <w:right w:val="single" w:sz="4" w:space="0" w:color="auto"/>
            </w:tcBorders>
            <w:shd w:val="clear" w:color="auto" w:fill="auto"/>
            <w:noWrap/>
            <w:vAlign w:val="bottom"/>
            <w:hideMark/>
          </w:tcPr>
          <w:p w14:paraId="76CAF550"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0</w:t>
            </w:r>
          </w:p>
        </w:tc>
        <w:tc>
          <w:tcPr>
            <w:tcW w:w="1117" w:type="pct"/>
            <w:tcBorders>
              <w:top w:val="nil"/>
              <w:left w:val="nil"/>
              <w:bottom w:val="single" w:sz="4" w:space="0" w:color="auto"/>
              <w:right w:val="single" w:sz="4" w:space="0" w:color="auto"/>
            </w:tcBorders>
            <w:shd w:val="clear" w:color="auto" w:fill="auto"/>
            <w:noWrap/>
            <w:vAlign w:val="bottom"/>
            <w:hideMark/>
          </w:tcPr>
          <w:p w14:paraId="6331E72F"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1,68456E-25</w:t>
            </w:r>
          </w:p>
        </w:tc>
        <w:tc>
          <w:tcPr>
            <w:tcW w:w="882" w:type="pct"/>
            <w:tcBorders>
              <w:top w:val="nil"/>
              <w:left w:val="nil"/>
              <w:bottom w:val="single" w:sz="4" w:space="0" w:color="auto"/>
              <w:right w:val="single" w:sz="4" w:space="0" w:color="auto"/>
            </w:tcBorders>
            <w:shd w:val="clear" w:color="auto" w:fill="auto"/>
            <w:noWrap/>
            <w:vAlign w:val="bottom"/>
            <w:hideMark/>
          </w:tcPr>
          <w:p w14:paraId="0C7EF049"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1,68456E-25</w:t>
            </w:r>
          </w:p>
        </w:tc>
        <w:tc>
          <w:tcPr>
            <w:tcW w:w="978" w:type="pct"/>
            <w:tcBorders>
              <w:top w:val="nil"/>
              <w:left w:val="nil"/>
              <w:bottom w:val="single" w:sz="4" w:space="0" w:color="auto"/>
              <w:right w:val="single" w:sz="4" w:space="0" w:color="auto"/>
            </w:tcBorders>
            <w:shd w:val="clear" w:color="auto" w:fill="auto"/>
            <w:noWrap/>
            <w:vAlign w:val="bottom"/>
            <w:hideMark/>
          </w:tcPr>
          <w:p w14:paraId="7CD4DDCF"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1,68456E-25</w:t>
            </w:r>
          </w:p>
        </w:tc>
        <w:tc>
          <w:tcPr>
            <w:tcW w:w="615" w:type="pct"/>
            <w:tcBorders>
              <w:top w:val="nil"/>
              <w:left w:val="nil"/>
              <w:bottom w:val="single" w:sz="4" w:space="0" w:color="auto"/>
              <w:right w:val="single" w:sz="4" w:space="0" w:color="auto"/>
            </w:tcBorders>
            <w:shd w:val="clear" w:color="auto" w:fill="auto"/>
            <w:noWrap/>
            <w:vAlign w:val="bottom"/>
            <w:hideMark/>
          </w:tcPr>
          <w:p w14:paraId="0D4E3E5F"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0,07267811</w:t>
            </w:r>
          </w:p>
        </w:tc>
      </w:tr>
    </w:tbl>
    <w:p w14:paraId="3BFB01F9"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p>
    <w:p w14:paraId="62D3D393"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p>
    <w:p w14:paraId="0D75F63B"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p>
    <w:p w14:paraId="58F9EA73"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p>
    <w:p w14:paraId="6310842B"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p>
    <w:p w14:paraId="19E3FBDE" w14:textId="06A42AF4" w:rsidR="00384794" w:rsidRPr="00E018EF" w:rsidRDefault="00384794" w:rsidP="00E018EF">
      <w:pPr>
        <w:shd w:val="clear" w:color="auto" w:fill="FFFFFF"/>
        <w:spacing w:line="276" w:lineRule="auto"/>
        <w:jc w:val="center"/>
        <w:rPr>
          <w:rFonts w:ascii="Arial" w:eastAsia="Wingdings" w:hAnsi="Arial" w:cs="Arial"/>
          <w:b/>
          <w:color w:val="000000" w:themeColor="text1"/>
          <w:w w:val="85"/>
          <w:sz w:val="25"/>
          <w:szCs w:val="25"/>
          <w:lang w:val="en-US"/>
        </w:rPr>
      </w:pPr>
      <w:r w:rsidRPr="00E018EF">
        <w:rPr>
          <w:rFonts w:ascii="Arial" w:eastAsia="Wingdings" w:hAnsi="Arial" w:cs="Arial"/>
          <w:b/>
          <w:color w:val="000000" w:themeColor="text1"/>
          <w:w w:val="85"/>
          <w:sz w:val="25"/>
          <w:szCs w:val="25"/>
          <w:lang w:val="en-US"/>
        </w:rPr>
        <w:lastRenderedPageBreak/>
        <w:t>Reference</w:t>
      </w:r>
    </w:p>
    <w:p w14:paraId="2E19CD4C" w14:textId="24EFCEF8" w:rsidR="00384794" w:rsidRPr="00E018EF" w:rsidRDefault="00384794" w:rsidP="00E018EF">
      <w:pPr>
        <w:shd w:val="clear" w:color="auto" w:fill="FFFFFF"/>
        <w:spacing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rPr>
        <w:t>Yahoo Finance. (n.d.). American Tower Corporation (REIT) (AMT). [online] Available at: https://finance.yahoo.com/quote/AMT?p=AMT&amp;.tsrc=fin-srch [Accessed 10 March 2023].</w:t>
      </w:r>
    </w:p>
    <w:p w14:paraId="1EE3B49F" w14:textId="77777777" w:rsidR="00384794" w:rsidRPr="00E018EF" w:rsidRDefault="00384794" w:rsidP="00E018EF">
      <w:pPr>
        <w:shd w:val="clear" w:color="auto" w:fill="FFFFFF"/>
        <w:spacing w:line="276" w:lineRule="auto"/>
        <w:jc w:val="both"/>
        <w:rPr>
          <w:rFonts w:ascii="Arial" w:eastAsia="Wingdings" w:hAnsi="Arial" w:cs="Arial"/>
          <w:bCs/>
          <w:color w:val="000000" w:themeColor="text1"/>
          <w:w w:val="85"/>
          <w:sz w:val="25"/>
          <w:szCs w:val="25"/>
        </w:rPr>
      </w:pPr>
    </w:p>
    <w:p w14:paraId="7D3F612C" w14:textId="77777777" w:rsidR="009058F8" w:rsidRPr="00E018EF" w:rsidRDefault="009058F8" w:rsidP="00E018EF">
      <w:pPr>
        <w:spacing w:line="276" w:lineRule="auto"/>
        <w:jc w:val="both"/>
        <w:rPr>
          <w:rFonts w:ascii="Arial" w:hAnsi="Arial" w:cs="Arial"/>
          <w:bCs/>
          <w:color w:val="000000" w:themeColor="text1"/>
          <w:sz w:val="25"/>
          <w:szCs w:val="25"/>
        </w:rPr>
      </w:pPr>
    </w:p>
    <w:sectPr w:rsidR="009058F8" w:rsidRPr="00E018EF" w:rsidSect="00EA17FD">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8648C" w14:textId="77777777" w:rsidR="005929CD" w:rsidRDefault="005929CD" w:rsidP="00C32017">
      <w:r>
        <w:separator/>
      </w:r>
    </w:p>
  </w:endnote>
  <w:endnote w:type="continuationSeparator" w:id="0">
    <w:p w14:paraId="19B4CE84" w14:textId="77777777" w:rsidR="005929CD" w:rsidRDefault="005929CD" w:rsidP="00C32017">
      <w:r>
        <w:continuationSeparator/>
      </w:r>
    </w:p>
  </w:endnote>
  <w:endnote w:type="continuationNotice" w:id="1">
    <w:p w14:paraId="25689870" w14:textId="77777777" w:rsidR="005929CD" w:rsidRDefault="005929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2424B" w14:textId="77777777" w:rsidR="005929CD" w:rsidRDefault="005929CD" w:rsidP="00C32017">
      <w:r>
        <w:separator/>
      </w:r>
    </w:p>
  </w:footnote>
  <w:footnote w:type="continuationSeparator" w:id="0">
    <w:p w14:paraId="52010E7A" w14:textId="77777777" w:rsidR="005929CD" w:rsidRDefault="005929CD" w:rsidP="00C32017">
      <w:r>
        <w:continuationSeparator/>
      </w:r>
    </w:p>
  </w:footnote>
  <w:footnote w:type="continuationNotice" w:id="1">
    <w:p w14:paraId="32D174F6" w14:textId="77777777" w:rsidR="005929CD" w:rsidRDefault="005929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5332"/>
    <w:multiLevelType w:val="hybridMultilevel"/>
    <w:tmpl w:val="CFFC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35099"/>
    <w:multiLevelType w:val="hybridMultilevel"/>
    <w:tmpl w:val="7034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914EE"/>
    <w:multiLevelType w:val="multilevel"/>
    <w:tmpl w:val="3D4C145E"/>
    <w:lvl w:ilvl="0">
      <w:start w:val="1"/>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B311A9"/>
    <w:multiLevelType w:val="hybridMultilevel"/>
    <w:tmpl w:val="5B567C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52C97"/>
    <w:multiLevelType w:val="hybridMultilevel"/>
    <w:tmpl w:val="D710131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 w15:restartNumberingAfterBreak="0">
    <w:nsid w:val="65960300"/>
    <w:multiLevelType w:val="hybridMultilevel"/>
    <w:tmpl w:val="739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75DA9"/>
    <w:multiLevelType w:val="hybridMultilevel"/>
    <w:tmpl w:val="6118529E"/>
    <w:lvl w:ilvl="0" w:tplc="B790AF94">
      <w:start w:val="1"/>
      <w:numFmt w:val="decimal"/>
      <w:lvlText w:val="%1."/>
      <w:lvlJc w:val="left"/>
      <w:pPr>
        <w:ind w:left="720" w:hanging="360"/>
      </w:pPr>
      <w:rPr>
        <w:rFonts w:eastAsia="Times New Roman" w:hint="default"/>
        <w:w w:val="1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616F24"/>
    <w:multiLevelType w:val="hybridMultilevel"/>
    <w:tmpl w:val="275C553A"/>
    <w:lvl w:ilvl="0" w:tplc="1B04C1C0">
      <w:start w:val="1"/>
      <w:numFmt w:val="bullet"/>
      <w:lvlText w:val="•"/>
      <w:lvlJc w:val="left"/>
      <w:pPr>
        <w:tabs>
          <w:tab w:val="num" w:pos="720"/>
        </w:tabs>
        <w:ind w:left="720" w:hanging="360"/>
      </w:pPr>
      <w:rPr>
        <w:rFonts w:ascii="Arial" w:hAnsi="Arial" w:hint="default"/>
      </w:rPr>
    </w:lvl>
    <w:lvl w:ilvl="1" w:tplc="64EE8488" w:tentative="1">
      <w:start w:val="1"/>
      <w:numFmt w:val="bullet"/>
      <w:lvlText w:val="•"/>
      <w:lvlJc w:val="left"/>
      <w:pPr>
        <w:tabs>
          <w:tab w:val="num" w:pos="1440"/>
        </w:tabs>
        <w:ind w:left="1440" w:hanging="360"/>
      </w:pPr>
      <w:rPr>
        <w:rFonts w:ascii="Arial" w:hAnsi="Arial" w:hint="default"/>
      </w:rPr>
    </w:lvl>
    <w:lvl w:ilvl="2" w:tplc="FA78699E" w:tentative="1">
      <w:start w:val="1"/>
      <w:numFmt w:val="bullet"/>
      <w:lvlText w:val="•"/>
      <w:lvlJc w:val="left"/>
      <w:pPr>
        <w:tabs>
          <w:tab w:val="num" w:pos="2160"/>
        </w:tabs>
        <w:ind w:left="2160" w:hanging="360"/>
      </w:pPr>
      <w:rPr>
        <w:rFonts w:ascii="Arial" w:hAnsi="Arial" w:hint="default"/>
      </w:rPr>
    </w:lvl>
    <w:lvl w:ilvl="3" w:tplc="5F7693D8" w:tentative="1">
      <w:start w:val="1"/>
      <w:numFmt w:val="bullet"/>
      <w:lvlText w:val="•"/>
      <w:lvlJc w:val="left"/>
      <w:pPr>
        <w:tabs>
          <w:tab w:val="num" w:pos="2880"/>
        </w:tabs>
        <w:ind w:left="2880" w:hanging="360"/>
      </w:pPr>
      <w:rPr>
        <w:rFonts w:ascii="Arial" w:hAnsi="Arial" w:hint="default"/>
      </w:rPr>
    </w:lvl>
    <w:lvl w:ilvl="4" w:tplc="60FC014C" w:tentative="1">
      <w:start w:val="1"/>
      <w:numFmt w:val="bullet"/>
      <w:lvlText w:val="•"/>
      <w:lvlJc w:val="left"/>
      <w:pPr>
        <w:tabs>
          <w:tab w:val="num" w:pos="3600"/>
        </w:tabs>
        <w:ind w:left="3600" w:hanging="360"/>
      </w:pPr>
      <w:rPr>
        <w:rFonts w:ascii="Arial" w:hAnsi="Arial" w:hint="default"/>
      </w:rPr>
    </w:lvl>
    <w:lvl w:ilvl="5" w:tplc="FC84E4A6" w:tentative="1">
      <w:start w:val="1"/>
      <w:numFmt w:val="bullet"/>
      <w:lvlText w:val="•"/>
      <w:lvlJc w:val="left"/>
      <w:pPr>
        <w:tabs>
          <w:tab w:val="num" w:pos="4320"/>
        </w:tabs>
        <w:ind w:left="4320" w:hanging="360"/>
      </w:pPr>
      <w:rPr>
        <w:rFonts w:ascii="Arial" w:hAnsi="Arial" w:hint="default"/>
      </w:rPr>
    </w:lvl>
    <w:lvl w:ilvl="6" w:tplc="569AAB20" w:tentative="1">
      <w:start w:val="1"/>
      <w:numFmt w:val="bullet"/>
      <w:lvlText w:val="•"/>
      <w:lvlJc w:val="left"/>
      <w:pPr>
        <w:tabs>
          <w:tab w:val="num" w:pos="5040"/>
        </w:tabs>
        <w:ind w:left="5040" w:hanging="360"/>
      </w:pPr>
      <w:rPr>
        <w:rFonts w:ascii="Arial" w:hAnsi="Arial" w:hint="default"/>
      </w:rPr>
    </w:lvl>
    <w:lvl w:ilvl="7" w:tplc="81C26F4E" w:tentative="1">
      <w:start w:val="1"/>
      <w:numFmt w:val="bullet"/>
      <w:lvlText w:val="•"/>
      <w:lvlJc w:val="left"/>
      <w:pPr>
        <w:tabs>
          <w:tab w:val="num" w:pos="5760"/>
        </w:tabs>
        <w:ind w:left="5760" w:hanging="360"/>
      </w:pPr>
      <w:rPr>
        <w:rFonts w:ascii="Arial" w:hAnsi="Arial" w:hint="default"/>
      </w:rPr>
    </w:lvl>
    <w:lvl w:ilvl="8" w:tplc="83A831C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37760E3"/>
    <w:multiLevelType w:val="hybridMultilevel"/>
    <w:tmpl w:val="83F4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05B38"/>
    <w:multiLevelType w:val="hybridMultilevel"/>
    <w:tmpl w:val="7B5E60E8"/>
    <w:lvl w:ilvl="0" w:tplc="FB1C253C">
      <w:start w:val="1"/>
      <w:numFmt w:val="bullet"/>
      <w:lvlText w:val="•"/>
      <w:lvlJc w:val="left"/>
      <w:pPr>
        <w:tabs>
          <w:tab w:val="num" w:pos="720"/>
        </w:tabs>
        <w:ind w:left="720" w:hanging="360"/>
      </w:pPr>
      <w:rPr>
        <w:rFonts w:ascii="Arial" w:hAnsi="Arial" w:hint="default"/>
      </w:rPr>
    </w:lvl>
    <w:lvl w:ilvl="1" w:tplc="EFB0C882" w:tentative="1">
      <w:start w:val="1"/>
      <w:numFmt w:val="bullet"/>
      <w:lvlText w:val="•"/>
      <w:lvlJc w:val="left"/>
      <w:pPr>
        <w:tabs>
          <w:tab w:val="num" w:pos="1440"/>
        </w:tabs>
        <w:ind w:left="1440" w:hanging="360"/>
      </w:pPr>
      <w:rPr>
        <w:rFonts w:ascii="Arial" w:hAnsi="Arial" w:hint="default"/>
      </w:rPr>
    </w:lvl>
    <w:lvl w:ilvl="2" w:tplc="A6F6C770" w:tentative="1">
      <w:start w:val="1"/>
      <w:numFmt w:val="bullet"/>
      <w:lvlText w:val="•"/>
      <w:lvlJc w:val="left"/>
      <w:pPr>
        <w:tabs>
          <w:tab w:val="num" w:pos="2160"/>
        </w:tabs>
        <w:ind w:left="2160" w:hanging="360"/>
      </w:pPr>
      <w:rPr>
        <w:rFonts w:ascii="Arial" w:hAnsi="Arial" w:hint="default"/>
      </w:rPr>
    </w:lvl>
    <w:lvl w:ilvl="3" w:tplc="9E72E2CE" w:tentative="1">
      <w:start w:val="1"/>
      <w:numFmt w:val="bullet"/>
      <w:lvlText w:val="•"/>
      <w:lvlJc w:val="left"/>
      <w:pPr>
        <w:tabs>
          <w:tab w:val="num" w:pos="2880"/>
        </w:tabs>
        <w:ind w:left="2880" w:hanging="360"/>
      </w:pPr>
      <w:rPr>
        <w:rFonts w:ascii="Arial" w:hAnsi="Arial" w:hint="default"/>
      </w:rPr>
    </w:lvl>
    <w:lvl w:ilvl="4" w:tplc="97F06DA8" w:tentative="1">
      <w:start w:val="1"/>
      <w:numFmt w:val="bullet"/>
      <w:lvlText w:val="•"/>
      <w:lvlJc w:val="left"/>
      <w:pPr>
        <w:tabs>
          <w:tab w:val="num" w:pos="3600"/>
        </w:tabs>
        <w:ind w:left="3600" w:hanging="360"/>
      </w:pPr>
      <w:rPr>
        <w:rFonts w:ascii="Arial" w:hAnsi="Arial" w:hint="default"/>
      </w:rPr>
    </w:lvl>
    <w:lvl w:ilvl="5" w:tplc="1F186162" w:tentative="1">
      <w:start w:val="1"/>
      <w:numFmt w:val="bullet"/>
      <w:lvlText w:val="•"/>
      <w:lvlJc w:val="left"/>
      <w:pPr>
        <w:tabs>
          <w:tab w:val="num" w:pos="4320"/>
        </w:tabs>
        <w:ind w:left="4320" w:hanging="360"/>
      </w:pPr>
      <w:rPr>
        <w:rFonts w:ascii="Arial" w:hAnsi="Arial" w:hint="default"/>
      </w:rPr>
    </w:lvl>
    <w:lvl w:ilvl="6" w:tplc="52306BB6" w:tentative="1">
      <w:start w:val="1"/>
      <w:numFmt w:val="bullet"/>
      <w:lvlText w:val="•"/>
      <w:lvlJc w:val="left"/>
      <w:pPr>
        <w:tabs>
          <w:tab w:val="num" w:pos="5040"/>
        </w:tabs>
        <w:ind w:left="5040" w:hanging="360"/>
      </w:pPr>
      <w:rPr>
        <w:rFonts w:ascii="Arial" w:hAnsi="Arial" w:hint="default"/>
      </w:rPr>
    </w:lvl>
    <w:lvl w:ilvl="7" w:tplc="AE0A5DEE" w:tentative="1">
      <w:start w:val="1"/>
      <w:numFmt w:val="bullet"/>
      <w:lvlText w:val="•"/>
      <w:lvlJc w:val="left"/>
      <w:pPr>
        <w:tabs>
          <w:tab w:val="num" w:pos="5760"/>
        </w:tabs>
        <w:ind w:left="5760" w:hanging="360"/>
      </w:pPr>
      <w:rPr>
        <w:rFonts w:ascii="Arial" w:hAnsi="Arial" w:hint="default"/>
      </w:rPr>
    </w:lvl>
    <w:lvl w:ilvl="8" w:tplc="EE084E2C" w:tentative="1">
      <w:start w:val="1"/>
      <w:numFmt w:val="bullet"/>
      <w:lvlText w:val="•"/>
      <w:lvlJc w:val="left"/>
      <w:pPr>
        <w:tabs>
          <w:tab w:val="num" w:pos="6480"/>
        </w:tabs>
        <w:ind w:left="6480" w:hanging="360"/>
      </w:pPr>
      <w:rPr>
        <w:rFonts w:ascii="Arial" w:hAnsi="Arial" w:hint="default"/>
      </w:rPr>
    </w:lvl>
  </w:abstractNum>
  <w:num w:numId="1" w16cid:durableId="1748501640">
    <w:abstractNumId w:val="8"/>
  </w:num>
  <w:num w:numId="2" w16cid:durableId="1289357318">
    <w:abstractNumId w:val="3"/>
  </w:num>
  <w:num w:numId="3" w16cid:durableId="606079944">
    <w:abstractNumId w:val="0"/>
  </w:num>
  <w:num w:numId="4" w16cid:durableId="347021679">
    <w:abstractNumId w:val="5"/>
  </w:num>
  <w:num w:numId="5" w16cid:durableId="1894535760">
    <w:abstractNumId w:val="1"/>
  </w:num>
  <w:num w:numId="6" w16cid:durableId="15114113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7237861">
    <w:abstractNumId w:val="5"/>
  </w:num>
  <w:num w:numId="8" w16cid:durableId="1885673403">
    <w:abstractNumId w:val="2"/>
  </w:num>
  <w:num w:numId="9" w16cid:durableId="2090301006">
    <w:abstractNumId w:val="9"/>
  </w:num>
  <w:num w:numId="10" w16cid:durableId="1504933438">
    <w:abstractNumId w:val="7"/>
  </w:num>
  <w:num w:numId="11" w16cid:durableId="719406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EE"/>
    <w:rsid w:val="00003CAF"/>
    <w:rsid w:val="00005B55"/>
    <w:rsid w:val="00006E4B"/>
    <w:rsid w:val="00007EC2"/>
    <w:rsid w:val="00051ABD"/>
    <w:rsid w:val="00071EB1"/>
    <w:rsid w:val="000B4D4F"/>
    <w:rsid w:val="000D5C47"/>
    <w:rsid w:val="000E3CC7"/>
    <w:rsid w:val="000F5455"/>
    <w:rsid w:val="00133749"/>
    <w:rsid w:val="00167B26"/>
    <w:rsid w:val="001817DB"/>
    <w:rsid w:val="00182EB7"/>
    <w:rsid w:val="001B06A9"/>
    <w:rsid w:val="001B3795"/>
    <w:rsid w:val="002359D4"/>
    <w:rsid w:val="00237BF7"/>
    <w:rsid w:val="002420B7"/>
    <w:rsid w:val="00270A37"/>
    <w:rsid w:val="002743B5"/>
    <w:rsid w:val="00281E23"/>
    <w:rsid w:val="002C361B"/>
    <w:rsid w:val="002C648C"/>
    <w:rsid w:val="002C6D40"/>
    <w:rsid w:val="002E4FC3"/>
    <w:rsid w:val="002E6B8E"/>
    <w:rsid w:val="002F62AA"/>
    <w:rsid w:val="00314118"/>
    <w:rsid w:val="00322518"/>
    <w:rsid w:val="00330253"/>
    <w:rsid w:val="00340BAC"/>
    <w:rsid w:val="0035488D"/>
    <w:rsid w:val="00380493"/>
    <w:rsid w:val="00384794"/>
    <w:rsid w:val="00387CDB"/>
    <w:rsid w:val="003917DB"/>
    <w:rsid w:val="00397D57"/>
    <w:rsid w:val="003B18BB"/>
    <w:rsid w:val="003F1139"/>
    <w:rsid w:val="00426344"/>
    <w:rsid w:val="00443F3A"/>
    <w:rsid w:val="004957BC"/>
    <w:rsid w:val="004A26BE"/>
    <w:rsid w:val="004B2574"/>
    <w:rsid w:val="004B4AB2"/>
    <w:rsid w:val="004C0AEE"/>
    <w:rsid w:val="004E0DC0"/>
    <w:rsid w:val="004F5839"/>
    <w:rsid w:val="004F6A0D"/>
    <w:rsid w:val="00506464"/>
    <w:rsid w:val="0050657B"/>
    <w:rsid w:val="00553AA1"/>
    <w:rsid w:val="005742EE"/>
    <w:rsid w:val="00590BB2"/>
    <w:rsid w:val="005929CD"/>
    <w:rsid w:val="005D1596"/>
    <w:rsid w:val="005E0396"/>
    <w:rsid w:val="005E514C"/>
    <w:rsid w:val="005F1570"/>
    <w:rsid w:val="005F1BAD"/>
    <w:rsid w:val="00616785"/>
    <w:rsid w:val="00617527"/>
    <w:rsid w:val="00622B80"/>
    <w:rsid w:val="00625A34"/>
    <w:rsid w:val="006A7BAF"/>
    <w:rsid w:val="006F6AA6"/>
    <w:rsid w:val="00705B54"/>
    <w:rsid w:val="00711427"/>
    <w:rsid w:val="00737B77"/>
    <w:rsid w:val="00757E5E"/>
    <w:rsid w:val="00764BC5"/>
    <w:rsid w:val="0078549D"/>
    <w:rsid w:val="0078687C"/>
    <w:rsid w:val="007B5185"/>
    <w:rsid w:val="007D0BFD"/>
    <w:rsid w:val="007E2B00"/>
    <w:rsid w:val="00802B59"/>
    <w:rsid w:val="0080658F"/>
    <w:rsid w:val="00813210"/>
    <w:rsid w:val="00827414"/>
    <w:rsid w:val="008403CA"/>
    <w:rsid w:val="009058F8"/>
    <w:rsid w:val="0090757D"/>
    <w:rsid w:val="009157DD"/>
    <w:rsid w:val="00921DF4"/>
    <w:rsid w:val="009340FA"/>
    <w:rsid w:val="00974B53"/>
    <w:rsid w:val="0097558F"/>
    <w:rsid w:val="009A3FB0"/>
    <w:rsid w:val="009C3025"/>
    <w:rsid w:val="009C60CD"/>
    <w:rsid w:val="009D1829"/>
    <w:rsid w:val="009E03A0"/>
    <w:rsid w:val="009E2D50"/>
    <w:rsid w:val="009F1399"/>
    <w:rsid w:val="00A17B8B"/>
    <w:rsid w:val="00A30950"/>
    <w:rsid w:val="00A67456"/>
    <w:rsid w:val="00A73183"/>
    <w:rsid w:val="00A91843"/>
    <w:rsid w:val="00A924A5"/>
    <w:rsid w:val="00AC0099"/>
    <w:rsid w:val="00AC1CCF"/>
    <w:rsid w:val="00AC43A5"/>
    <w:rsid w:val="00AE444C"/>
    <w:rsid w:val="00AF1B11"/>
    <w:rsid w:val="00B06291"/>
    <w:rsid w:val="00B14C5B"/>
    <w:rsid w:val="00B15E10"/>
    <w:rsid w:val="00B2187F"/>
    <w:rsid w:val="00B75CC9"/>
    <w:rsid w:val="00BA1CC7"/>
    <w:rsid w:val="00BA7D32"/>
    <w:rsid w:val="00BB0ACF"/>
    <w:rsid w:val="00BC3C76"/>
    <w:rsid w:val="00BE7E2E"/>
    <w:rsid w:val="00C006A7"/>
    <w:rsid w:val="00C32017"/>
    <w:rsid w:val="00C372C6"/>
    <w:rsid w:val="00C43D62"/>
    <w:rsid w:val="00C57171"/>
    <w:rsid w:val="00C87F52"/>
    <w:rsid w:val="00CB10D4"/>
    <w:rsid w:val="00CC4AC0"/>
    <w:rsid w:val="00CD1353"/>
    <w:rsid w:val="00CD37BB"/>
    <w:rsid w:val="00D216F2"/>
    <w:rsid w:val="00D463D3"/>
    <w:rsid w:val="00D75027"/>
    <w:rsid w:val="00D918A8"/>
    <w:rsid w:val="00D942A0"/>
    <w:rsid w:val="00DA28B7"/>
    <w:rsid w:val="00DA7D21"/>
    <w:rsid w:val="00DB70FA"/>
    <w:rsid w:val="00DE7556"/>
    <w:rsid w:val="00E018EF"/>
    <w:rsid w:val="00E15FAA"/>
    <w:rsid w:val="00E24369"/>
    <w:rsid w:val="00E557F5"/>
    <w:rsid w:val="00E60D0E"/>
    <w:rsid w:val="00E64CDE"/>
    <w:rsid w:val="00E66545"/>
    <w:rsid w:val="00E85B51"/>
    <w:rsid w:val="00EA17FD"/>
    <w:rsid w:val="00EB724B"/>
    <w:rsid w:val="00ED3424"/>
    <w:rsid w:val="00ED499D"/>
    <w:rsid w:val="00ED7BB5"/>
    <w:rsid w:val="00EF4A58"/>
    <w:rsid w:val="00F07699"/>
    <w:rsid w:val="00F21D33"/>
    <w:rsid w:val="00F40377"/>
    <w:rsid w:val="00F45BDE"/>
    <w:rsid w:val="00F52D1F"/>
    <w:rsid w:val="00F53AA2"/>
    <w:rsid w:val="00F565F3"/>
    <w:rsid w:val="00F66370"/>
    <w:rsid w:val="00F66EFB"/>
    <w:rsid w:val="00FB0499"/>
    <w:rsid w:val="00FD2F88"/>
    <w:rsid w:val="00FF6025"/>
    <w:rsid w:val="18F7D9E6"/>
    <w:rsid w:val="368AC46E"/>
    <w:rsid w:val="37F686E4"/>
    <w:rsid w:val="45F19C7C"/>
    <w:rsid w:val="4C4784A2"/>
    <w:rsid w:val="558A1FA9"/>
    <w:rsid w:val="6637160A"/>
    <w:rsid w:val="7E60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48C8"/>
  <w15:chartTrackingRefBased/>
  <w15:docId w15:val="{8FC2E9C8-114C-44B8-B250-D238C97C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54"/>
    <w:pPr>
      <w:spacing w:after="0" w:line="240" w:lineRule="auto"/>
    </w:pPr>
    <w:rPr>
      <w:rFonts w:ascii="Times New Roman" w:eastAsia="Times New Roman" w:hAnsi="Times New Roman" w:cs="Times New Roman"/>
      <w:sz w:val="24"/>
      <w:szCs w:val="24"/>
      <w:lang w:val="en-U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57B"/>
    <w:pPr>
      <w:ind w:left="720"/>
      <w:contextualSpacing/>
    </w:pPr>
  </w:style>
  <w:style w:type="table" w:styleId="TableGrid">
    <w:name w:val="Table Grid"/>
    <w:basedOn w:val="TableNormal"/>
    <w:uiPriority w:val="39"/>
    <w:rsid w:val="00C3201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017"/>
    <w:pPr>
      <w:tabs>
        <w:tab w:val="center" w:pos="4419"/>
        <w:tab w:val="right" w:pos="8838"/>
      </w:tabs>
    </w:pPr>
  </w:style>
  <w:style w:type="character" w:customStyle="1" w:styleId="HeaderChar">
    <w:name w:val="Header Char"/>
    <w:basedOn w:val="DefaultParagraphFont"/>
    <w:link w:val="Header"/>
    <w:uiPriority w:val="99"/>
    <w:rsid w:val="00C32017"/>
  </w:style>
  <w:style w:type="paragraph" w:styleId="Footer">
    <w:name w:val="footer"/>
    <w:basedOn w:val="Normal"/>
    <w:link w:val="FooterChar"/>
    <w:uiPriority w:val="99"/>
    <w:unhideWhenUsed/>
    <w:rsid w:val="00C32017"/>
    <w:pPr>
      <w:tabs>
        <w:tab w:val="center" w:pos="4419"/>
        <w:tab w:val="right" w:pos="8838"/>
      </w:tabs>
    </w:pPr>
  </w:style>
  <w:style w:type="character" w:customStyle="1" w:styleId="FooterChar">
    <w:name w:val="Footer Char"/>
    <w:basedOn w:val="DefaultParagraphFont"/>
    <w:link w:val="Footer"/>
    <w:uiPriority w:val="99"/>
    <w:rsid w:val="00C32017"/>
  </w:style>
  <w:style w:type="paragraph" w:styleId="BalloonText">
    <w:name w:val="Balloon Text"/>
    <w:basedOn w:val="Normal"/>
    <w:link w:val="BalloonTextChar"/>
    <w:uiPriority w:val="99"/>
    <w:semiHidden/>
    <w:unhideWhenUsed/>
    <w:rsid w:val="002C64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48C"/>
    <w:rPr>
      <w:rFonts w:ascii="Segoe UI" w:hAnsi="Segoe UI" w:cs="Segoe UI"/>
      <w:sz w:val="18"/>
      <w:szCs w:val="18"/>
    </w:rPr>
  </w:style>
  <w:style w:type="paragraph" w:styleId="BodyText">
    <w:name w:val="Body Text"/>
    <w:basedOn w:val="Normal"/>
    <w:link w:val="BodyTextChar"/>
    <w:uiPriority w:val="1"/>
    <w:qFormat/>
    <w:rsid w:val="00397D57"/>
    <w:pPr>
      <w:widowControl w:val="0"/>
      <w:autoSpaceDE w:val="0"/>
      <w:autoSpaceDN w:val="0"/>
      <w:ind w:left="860" w:hanging="360"/>
    </w:pPr>
    <w:rPr>
      <w:rFonts w:ascii="Calibri" w:eastAsia="Calibri" w:hAnsi="Calibri" w:cs="Calibri"/>
      <w:lang w:bidi="en-US"/>
    </w:rPr>
  </w:style>
  <w:style w:type="character" w:customStyle="1" w:styleId="BodyTextChar">
    <w:name w:val="Body Text Char"/>
    <w:basedOn w:val="DefaultParagraphFont"/>
    <w:link w:val="BodyText"/>
    <w:uiPriority w:val="1"/>
    <w:rsid w:val="00397D57"/>
    <w:rPr>
      <w:rFonts w:ascii="Calibri" w:eastAsia="Calibri" w:hAnsi="Calibri" w:cs="Calibri"/>
      <w:lang w:bidi="en-US"/>
    </w:rPr>
  </w:style>
  <w:style w:type="paragraph" w:styleId="NormalWeb">
    <w:name w:val="Normal (Web)"/>
    <w:basedOn w:val="Normal"/>
    <w:uiPriority w:val="99"/>
    <w:unhideWhenUsed/>
    <w:rsid w:val="00705B54"/>
    <w:pPr>
      <w:spacing w:before="100" w:beforeAutospacing="1" w:after="100" w:afterAutospacing="1"/>
    </w:pPr>
  </w:style>
  <w:style w:type="paragraph" w:styleId="Revision">
    <w:name w:val="Revision"/>
    <w:hidden/>
    <w:uiPriority w:val="99"/>
    <w:semiHidden/>
    <w:rsid w:val="00705B54"/>
    <w:pPr>
      <w:spacing w:after="0" w:line="240" w:lineRule="auto"/>
    </w:pPr>
  </w:style>
  <w:style w:type="character" w:styleId="Hyperlink">
    <w:name w:val="Hyperlink"/>
    <w:basedOn w:val="DefaultParagraphFont"/>
    <w:uiPriority w:val="99"/>
    <w:semiHidden/>
    <w:unhideWhenUsed/>
    <w:rsid w:val="00705B54"/>
    <w:rPr>
      <w:color w:val="0563C1"/>
      <w:u w:val="single"/>
    </w:rPr>
  </w:style>
  <w:style w:type="character" w:styleId="FollowedHyperlink">
    <w:name w:val="FollowedHyperlink"/>
    <w:basedOn w:val="DefaultParagraphFont"/>
    <w:uiPriority w:val="99"/>
    <w:semiHidden/>
    <w:unhideWhenUsed/>
    <w:rsid w:val="00705B54"/>
    <w:rPr>
      <w:color w:val="954F72"/>
      <w:u w:val="single"/>
    </w:rPr>
  </w:style>
  <w:style w:type="paragraph" w:customStyle="1" w:styleId="msonormal0">
    <w:name w:val="msonormal"/>
    <w:basedOn w:val="Normal"/>
    <w:rsid w:val="00705B54"/>
    <w:pPr>
      <w:spacing w:before="100" w:beforeAutospacing="1" w:after="100" w:afterAutospacing="1"/>
    </w:pPr>
  </w:style>
  <w:style w:type="paragraph" w:customStyle="1" w:styleId="xl65">
    <w:name w:val="xl65"/>
    <w:basedOn w:val="Normal"/>
    <w:rsid w:val="00705B5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66">
    <w:name w:val="xl66"/>
    <w:basedOn w:val="Normal"/>
    <w:rsid w:val="00705B5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7">
    <w:name w:val="xl67"/>
    <w:basedOn w:val="Normal"/>
    <w:rsid w:val="00705B5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8">
    <w:name w:val="xl68"/>
    <w:basedOn w:val="Normal"/>
    <w:rsid w:val="00705B54"/>
    <w:pPr>
      <w:pBdr>
        <w:top w:val="single" w:sz="4" w:space="0" w:color="auto"/>
        <w:left w:val="single" w:sz="4" w:space="0" w:color="auto"/>
        <w:bottom w:val="single" w:sz="4" w:space="0" w:color="auto"/>
        <w:right w:val="single" w:sz="4" w:space="0" w:color="auto"/>
      </w:pBd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9678">
      <w:bodyDiv w:val="1"/>
      <w:marLeft w:val="0"/>
      <w:marRight w:val="0"/>
      <w:marTop w:val="0"/>
      <w:marBottom w:val="0"/>
      <w:divBdr>
        <w:top w:val="none" w:sz="0" w:space="0" w:color="auto"/>
        <w:left w:val="none" w:sz="0" w:space="0" w:color="auto"/>
        <w:bottom w:val="none" w:sz="0" w:space="0" w:color="auto"/>
        <w:right w:val="none" w:sz="0" w:space="0" w:color="auto"/>
      </w:divBdr>
    </w:div>
    <w:div w:id="98449011">
      <w:bodyDiv w:val="1"/>
      <w:marLeft w:val="0"/>
      <w:marRight w:val="0"/>
      <w:marTop w:val="0"/>
      <w:marBottom w:val="0"/>
      <w:divBdr>
        <w:top w:val="none" w:sz="0" w:space="0" w:color="auto"/>
        <w:left w:val="none" w:sz="0" w:space="0" w:color="auto"/>
        <w:bottom w:val="none" w:sz="0" w:space="0" w:color="auto"/>
        <w:right w:val="none" w:sz="0" w:space="0" w:color="auto"/>
      </w:divBdr>
    </w:div>
    <w:div w:id="132868600">
      <w:bodyDiv w:val="1"/>
      <w:marLeft w:val="0"/>
      <w:marRight w:val="0"/>
      <w:marTop w:val="0"/>
      <w:marBottom w:val="0"/>
      <w:divBdr>
        <w:top w:val="none" w:sz="0" w:space="0" w:color="auto"/>
        <w:left w:val="none" w:sz="0" w:space="0" w:color="auto"/>
        <w:bottom w:val="none" w:sz="0" w:space="0" w:color="auto"/>
        <w:right w:val="none" w:sz="0" w:space="0" w:color="auto"/>
      </w:divBdr>
    </w:div>
    <w:div w:id="158541555">
      <w:bodyDiv w:val="1"/>
      <w:marLeft w:val="0"/>
      <w:marRight w:val="0"/>
      <w:marTop w:val="0"/>
      <w:marBottom w:val="0"/>
      <w:divBdr>
        <w:top w:val="none" w:sz="0" w:space="0" w:color="auto"/>
        <w:left w:val="none" w:sz="0" w:space="0" w:color="auto"/>
        <w:bottom w:val="none" w:sz="0" w:space="0" w:color="auto"/>
        <w:right w:val="none" w:sz="0" w:space="0" w:color="auto"/>
      </w:divBdr>
    </w:div>
    <w:div w:id="233518530">
      <w:bodyDiv w:val="1"/>
      <w:marLeft w:val="0"/>
      <w:marRight w:val="0"/>
      <w:marTop w:val="0"/>
      <w:marBottom w:val="0"/>
      <w:divBdr>
        <w:top w:val="none" w:sz="0" w:space="0" w:color="auto"/>
        <w:left w:val="none" w:sz="0" w:space="0" w:color="auto"/>
        <w:bottom w:val="none" w:sz="0" w:space="0" w:color="auto"/>
        <w:right w:val="none" w:sz="0" w:space="0" w:color="auto"/>
      </w:divBdr>
    </w:div>
    <w:div w:id="293561981">
      <w:bodyDiv w:val="1"/>
      <w:marLeft w:val="0"/>
      <w:marRight w:val="0"/>
      <w:marTop w:val="0"/>
      <w:marBottom w:val="0"/>
      <w:divBdr>
        <w:top w:val="none" w:sz="0" w:space="0" w:color="auto"/>
        <w:left w:val="none" w:sz="0" w:space="0" w:color="auto"/>
        <w:bottom w:val="none" w:sz="0" w:space="0" w:color="auto"/>
        <w:right w:val="none" w:sz="0" w:space="0" w:color="auto"/>
      </w:divBdr>
    </w:div>
    <w:div w:id="456224079">
      <w:bodyDiv w:val="1"/>
      <w:marLeft w:val="0"/>
      <w:marRight w:val="0"/>
      <w:marTop w:val="0"/>
      <w:marBottom w:val="0"/>
      <w:divBdr>
        <w:top w:val="none" w:sz="0" w:space="0" w:color="auto"/>
        <w:left w:val="none" w:sz="0" w:space="0" w:color="auto"/>
        <w:bottom w:val="none" w:sz="0" w:space="0" w:color="auto"/>
        <w:right w:val="none" w:sz="0" w:space="0" w:color="auto"/>
      </w:divBdr>
    </w:div>
    <w:div w:id="535702492">
      <w:bodyDiv w:val="1"/>
      <w:marLeft w:val="0"/>
      <w:marRight w:val="0"/>
      <w:marTop w:val="0"/>
      <w:marBottom w:val="0"/>
      <w:divBdr>
        <w:top w:val="none" w:sz="0" w:space="0" w:color="auto"/>
        <w:left w:val="none" w:sz="0" w:space="0" w:color="auto"/>
        <w:bottom w:val="none" w:sz="0" w:space="0" w:color="auto"/>
        <w:right w:val="none" w:sz="0" w:space="0" w:color="auto"/>
      </w:divBdr>
    </w:div>
    <w:div w:id="565577592">
      <w:bodyDiv w:val="1"/>
      <w:marLeft w:val="0"/>
      <w:marRight w:val="0"/>
      <w:marTop w:val="0"/>
      <w:marBottom w:val="0"/>
      <w:divBdr>
        <w:top w:val="none" w:sz="0" w:space="0" w:color="auto"/>
        <w:left w:val="none" w:sz="0" w:space="0" w:color="auto"/>
        <w:bottom w:val="none" w:sz="0" w:space="0" w:color="auto"/>
        <w:right w:val="none" w:sz="0" w:space="0" w:color="auto"/>
      </w:divBdr>
    </w:div>
    <w:div w:id="608200810">
      <w:bodyDiv w:val="1"/>
      <w:marLeft w:val="0"/>
      <w:marRight w:val="0"/>
      <w:marTop w:val="0"/>
      <w:marBottom w:val="0"/>
      <w:divBdr>
        <w:top w:val="none" w:sz="0" w:space="0" w:color="auto"/>
        <w:left w:val="none" w:sz="0" w:space="0" w:color="auto"/>
        <w:bottom w:val="none" w:sz="0" w:space="0" w:color="auto"/>
        <w:right w:val="none" w:sz="0" w:space="0" w:color="auto"/>
      </w:divBdr>
    </w:div>
    <w:div w:id="627010272">
      <w:bodyDiv w:val="1"/>
      <w:marLeft w:val="0"/>
      <w:marRight w:val="0"/>
      <w:marTop w:val="0"/>
      <w:marBottom w:val="0"/>
      <w:divBdr>
        <w:top w:val="none" w:sz="0" w:space="0" w:color="auto"/>
        <w:left w:val="none" w:sz="0" w:space="0" w:color="auto"/>
        <w:bottom w:val="none" w:sz="0" w:space="0" w:color="auto"/>
        <w:right w:val="none" w:sz="0" w:space="0" w:color="auto"/>
      </w:divBdr>
    </w:div>
    <w:div w:id="689180140">
      <w:bodyDiv w:val="1"/>
      <w:marLeft w:val="0"/>
      <w:marRight w:val="0"/>
      <w:marTop w:val="0"/>
      <w:marBottom w:val="0"/>
      <w:divBdr>
        <w:top w:val="none" w:sz="0" w:space="0" w:color="auto"/>
        <w:left w:val="none" w:sz="0" w:space="0" w:color="auto"/>
        <w:bottom w:val="none" w:sz="0" w:space="0" w:color="auto"/>
        <w:right w:val="none" w:sz="0" w:space="0" w:color="auto"/>
      </w:divBdr>
    </w:div>
    <w:div w:id="696466953">
      <w:bodyDiv w:val="1"/>
      <w:marLeft w:val="0"/>
      <w:marRight w:val="0"/>
      <w:marTop w:val="0"/>
      <w:marBottom w:val="0"/>
      <w:divBdr>
        <w:top w:val="none" w:sz="0" w:space="0" w:color="auto"/>
        <w:left w:val="none" w:sz="0" w:space="0" w:color="auto"/>
        <w:bottom w:val="none" w:sz="0" w:space="0" w:color="auto"/>
        <w:right w:val="none" w:sz="0" w:space="0" w:color="auto"/>
      </w:divBdr>
      <w:divsChild>
        <w:div w:id="420175974">
          <w:marLeft w:val="360"/>
          <w:marRight w:val="0"/>
          <w:marTop w:val="200"/>
          <w:marBottom w:val="0"/>
          <w:divBdr>
            <w:top w:val="none" w:sz="0" w:space="0" w:color="auto"/>
            <w:left w:val="none" w:sz="0" w:space="0" w:color="auto"/>
            <w:bottom w:val="none" w:sz="0" w:space="0" w:color="auto"/>
            <w:right w:val="none" w:sz="0" w:space="0" w:color="auto"/>
          </w:divBdr>
        </w:div>
        <w:div w:id="1545751350">
          <w:marLeft w:val="360"/>
          <w:marRight w:val="0"/>
          <w:marTop w:val="200"/>
          <w:marBottom w:val="0"/>
          <w:divBdr>
            <w:top w:val="none" w:sz="0" w:space="0" w:color="auto"/>
            <w:left w:val="none" w:sz="0" w:space="0" w:color="auto"/>
            <w:bottom w:val="none" w:sz="0" w:space="0" w:color="auto"/>
            <w:right w:val="none" w:sz="0" w:space="0" w:color="auto"/>
          </w:divBdr>
        </w:div>
        <w:div w:id="748311570">
          <w:marLeft w:val="360"/>
          <w:marRight w:val="0"/>
          <w:marTop w:val="200"/>
          <w:marBottom w:val="0"/>
          <w:divBdr>
            <w:top w:val="none" w:sz="0" w:space="0" w:color="auto"/>
            <w:left w:val="none" w:sz="0" w:space="0" w:color="auto"/>
            <w:bottom w:val="none" w:sz="0" w:space="0" w:color="auto"/>
            <w:right w:val="none" w:sz="0" w:space="0" w:color="auto"/>
          </w:divBdr>
        </w:div>
        <w:div w:id="1975409666">
          <w:marLeft w:val="360"/>
          <w:marRight w:val="0"/>
          <w:marTop w:val="200"/>
          <w:marBottom w:val="0"/>
          <w:divBdr>
            <w:top w:val="none" w:sz="0" w:space="0" w:color="auto"/>
            <w:left w:val="none" w:sz="0" w:space="0" w:color="auto"/>
            <w:bottom w:val="none" w:sz="0" w:space="0" w:color="auto"/>
            <w:right w:val="none" w:sz="0" w:space="0" w:color="auto"/>
          </w:divBdr>
        </w:div>
        <w:div w:id="327364686">
          <w:marLeft w:val="360"/>
          <w:marRight w:val="0"/>
          <w:marTop w:val="200"/>
          <w:marBottom w:val="0"/>
          <w:divBdr>
            <w:top w:val="none" w:sz="0" w:space="0" w:color="auto"/>
            <w:left w:val="none" w:sz="0" w:space="0" w:color="auto"/>
            <w:bottom w:val="none" w:sz="0" w:space="0" w:color="auto"/>
            <w:right w:val="none" w:sz="0" w:space="0" w:color="auto"/>
          </w:divBdr>
        </w:div>
      </w:divsChild>
    </w:div>
    <w:div w:id="696664332">
      <w:bodyDiv w:val="1"/>
      <w:marLeft w:val="0"/>
      <w:marRight w:val="0"/>
      <w:marTop w:val="0"/>
      <w:marBottom w:val="0"/>
      <w:divBdr>
        <w:top w:val="none" w:sz="0" w:space="0" w:color="auto"/>
        <w:left w:val="none" w:sz="0" w:space="0" w:color="auto"/>
        <w:bottom w:val="none" w:sz="0" w:space="0" w:color="auto"/>
        <w:right w:val="none" w:sz="0" w:space="0" w:color="auto"/>
      </w:divBdr>
    </w:div>
    <w:div w:id="705760820">
      <w:bodyDiv w:val="1"/>
      <w:marLeft w:val="0"/>
      <w:marRight w:val="0"/>
      <w:marTop w:val="0"/>
      <w:marBottom w:val="0"/>
      <w:divBdr>
        <w:top w:val="none" w:sz="0" w:space="0" w:color="auto"/>
        <w:left w:val="none" w:sz="0" w:space="0" w:color="auto"/>
        <w:bottom w:val="none" w:sz="0" w:space="0" w:color="auto"/>
        <w:right w:val="none" w:sz="0" w:space="0" w:color="auto"/>
      </w:divBdr>
    </w:div>
    <w:div w:id="886993998">
      <w:bodyDiv w:val="1"/>
      <w:marLeft w:val="0"/>
      <w:marRight w:val="0"/>
      <w:marTop w:val="0"/>
      <w:marBottom w:val="0"/>
      <w:divBdr>
        <w:top w:val="none" w:sz="0" w:space="0" w:color="auto"/>
        <w:left w:val="none" w:sz="0" w:space="0" w:color="auto"/>
        <w:bottom w:val="none" w:sz="0" w:space="0" w:color="auto"/>
        <w:right w:val="none" w:sz="0" w:space="0" w:color="auto"/>
      </w:divBdr>
    </w:div>
    <w:div w:id="926115771">
      <w:bodyDiv w:val="1"/>
      <w:marLeft w:val="0"/>
      <w:marRight w:val="0"/>
      <w:marTop w:val="0"/>
      <w:marBottom w:val="0"/>
      <w:divBdr>
        <w:top w:val="none" w:sz="0" w:space="0" w:color="auto"/>
        <w:left w:val="none" w:sz="0" w:space="0" w:color="auto"/>
        <w:bottom w:val="none" w:sz="0" w:space="0" w:color="auto"/>
        <w:right w:val="none" w:sz="0" w:space="0" w:color="auto"/>
      </w:divBdr>
    </w:div>
    <w:div w:id="930550129">
      <w:bodyDiv w:val="1"/>
      <w:marLeft w:val="0"/>
      <w:marRight w:val="0"/>
      <w:marTop w:val="0"/>
      <w:marBottom w:val="0"/>
      <w:divBdr>
        <w:top w:val="none" w:sz="0" w:space="0" w:color="auto"/>
        <w:left w:val="none" w:sz="0" w:space="0" w:color="auto"/>
        <w:bottom w:val="none" w:sz="0" w:space="0" w:color="auto"/>
        <w:right w:val="none" w:sz="0" w:space="0" w:color="auto"/>
      </w:divBdr>
    </w:div>
    <w:div w:id="941766795">
      <w:bodyDiv w:val="1"/>
      <w:marLeft w:val="0"/>
      <w:marRight w:val="0"/>
      <w:marTop w:val="0"/>
      <w:marBottom w:val="0"/>
      <w:divBdr>
        <w:top w:val="none" w:sz="0" w:space="0" w:color="auto"/>
        <w:left w:val="none" w:sz="0" w:space="0" w:color="auto"/>
        <w:bottom w:val="none" w:sz="0" w:space="0" w:color="auto"/>
        <w:right w:val="none" w:sz="0" w:space="0" w:color="auto"/>
      </w:divBdr>
    </w:div>
    <w:div w:id="1012148235">
      <w:bodyDiv w:val="1"/>
      <w:marLeft w:val="0"/>
      <w:marRight w:val="0"/>
      <w:marTop w:val="0"/>
      <w:marBottom w:val="0"/>
      <w:divBdr>
        <w:top w:val="none" w:sz="0" w:space="0" w:color="auto"/>
        <w:left w:val="none" w:sz="0" w:space="0" w:color="auto"/>
        <w:bottom w:val="none" w:sz="0" w:space="0" w:color="auto"/>
        <w:right w:val="none" w:sz="0" w:space="0" w:color="auto"/>
      </w:divBdr>
    </w:div>
    <w:div w:id="1068919999">
      <w:bodyDiv w:val="1"/>
      <w:marLeft w:val="0"/>
      <w:marRight w:val="0"/>
      <w:marTop w:val="0"/>
      <w:marBottom w:val="0"/>
      <w:divBdr>
        <w:top w:val="none" w:sz="0" w:space="0" w:color="auto"/>
        <w:left w:val="none" w:sz="0" w:space="0" w:color="auto"/>
        <w:bottom w:val="none" w:sz="0" w:space="0" w:color="auto"/>
        <w:right w:val="none" w:sz="0" w:space="0" w:color="auto"/>
      </w:divBdr>
    </w:div>
    <w:div w:id="1297222159">
      <w:bodyDiv w:val="1"/>
      <w:marLeft w:val="0"/>
      <w:marRight w:val="0"/>
      <w:marTop w:val="0"/>
      <w:marBottom w:val="0"/>
      <w:divBdr>
        <w:top w:val="none" w:sz="0" w:space="0" w:color="auto"/>
        <w:left w:val="none" w:sz="0" w:space="0" w:color="auto"/>
        <w:bottom w:val="none" w:sz="0" w:space="0" w:color="auto"/>
        <w:right w:val="none" w:sz="0" w:space="0" w:color="auto"/>
      </w:divBdr>
    </w:div>
    <w:div w:id="1604678886">
      <w:bodyDiv w:val="1"/>
      <w:marLeft w:val="0"/>
      <w:marRight w:val="0"/>
      <w:marTop w:val="0"/>
      <w:marBottom w:val="0"/>
      <w:divBdr>
        <w:top w:val="none" w:sz="0" w:space="0" w:color="auto"/>
        <w:left w:val="none" w:sz="0" w:space="0" w:color="auto"/>
        <w:bottom w:val="none" w:sz="0" w:space="0" w:color="auto"/>
        <w:right w:val="none" w:sz="0" w:space="0" w:color="auto"/>
      </w:divBdr>
    </w:div>
    <w:div w:id="1606615288">
      <w:bodyDiv w:val="1"/>
      <w:marLeft w:val="0"/>
      <w:marRight w:val="0"/>
      <w:marTop w:val="0"/>
      <w:marBottom w:val="0"/>
      <w:divBdr>
        <w:top w:val="none" w:sz="0" w:space="0" w:color="auto"/>
        <w:left w:val="none" w:sz="0" w:space="0" w:color="auto"/>
        <w:bottom w:val="none" w:sz="0" w:space="0" w:color="auto"/>
        <w:right w:val="none" w:sz="0" w:space="0" w:color="auto"/>
      </w:divBdr>
    </w:div>
    <w:div w:id="1626615983">
      <w:bodyDiv w:val="1"/>
      <w:marLeft w:val="0"/>
      <w:marRight w:val="0"/>
      <w:marTop w:val="0"/>
      <w:marBottom w:val="0"/>
      <w:divBdr>
        <w:top w:val="none" w:sz="0" w:space="0" w:color="auto"/>
        <w:left w:val="none" w:sz="0" w:space="0" w:color="auto"/>
        <w:bottom w:val="none" w:sz="0" w:space="0" w:color="auto"/>
        <w:right w:val="none" w:sz="0" w:space="0" w:color="auto"/>
      </w:divBdr>
    </w:div>
    <w:div w:id="1710494720">
      <w:bodyDiv w:val="1"/>
      <w:marLeft w:val="0"/>
      <w:marRight w:val="0"/>
      <w:marTop w:val="0"/>
      <w:marBottom w:val="0"/>
      <w:divBdr>
        <w:top w:val="none" w:sz="0" w:space="0" w:color="auto"/>
        <w:left w:val="none" w:sz="0" w:space="0" w:color="auto"/>
        <w:bottom w:val="none" w:sz="0" w:space="0" w:color="auto"/>
        <w:right w:val="none" w:sz="0" w:space="0" w:color="auto"/>
      </w:divBdr>
    </w:div>
    <w:div w:id="1811093185">
      <w:bodyDiv w:val="1"/>
      <w:marLeft w:val="0"/>
      <w:marRight w:val="0"/>
      <w:marTop w:val="0"/>
      <w:marBottom w:val="0"/>
      <w:divBdr>
        <w:top w:val="none" w:sz="0" w:space="0" w:color="auto"/>
        <w:left w:val="none" w:sz="0" w:space="0" w:color="auto"/>
        <w:bottom w:val="none" w:sz="0" w:space="0" w:color="auto"/>
        <w:right w:val="none" w:sz="0" w:space="0" w:color="auto"/>
      </w:divBdr>
    </w:div>
    <w:div w:id="1878736403">
      <w:bodyDiv w:val="1"/>
      <w:marLeft w:val="0"/>
      <w:marRight w:val="0"/>
      <w:marTop w:val="0"/>
      <w:marBottom w:val="0"/>
      <w:divBdr>
        <w:top w:val="none" w:sz="0" w:space="0" w:color="auto"/>
        <w:left w:val="none" w:sz="0" w:space="0" w:color="auto"/>
        <w:bottom w:val="none" w:sz="0" w:space="0" w:color="auto"/>
        <w:right w:val="none" w:sz="0" w:space="0" w:color="auto"/>
      </w:divBdr>
    </w:div>
    <w:div w:id="1887793127">
      <w:bodyDiv w:val="1"/>
      <w:marLeft w:val="0"/>
      <w:marRight w:val="0"/>
      <w:marTop w:val="0"/>
      <w:marBottom w:val="0"/>
      <w:divBdr>
        <w:top w:val="none" w:sz="0" w:space="0" w:color="auto"/>
        <w:left w:val="none" w:sz="0" w:space="0" w:color="auto"/>
        <w:bottom w:val="none" w:sz="0" w:space="0" w:color="auto"/>
        <w:right w:val="none" w:sz="0" w:space="0" w:color="auto"/>
      </w:divBdr>
    </w:div>
    <w:div w:id="2103721881">
      <w:bodyDiv w:val="1"/>
      <w:marLeft w:val="0"/>
      <w:marRight w:val="0"/>
      <w:marTop w:val="0"/>
      <w:marBottom w:val="0"/>
      <w:divBdr>
        <w:top w:val="none" w:sz="0" w:space="0" w:color="auto"/>
        <w:left w:val="none" w:sz="0" w:space="0" w:color="auto"/>
        <w:bottom w:val="none" w:sz="0" w:space="0" w:color="auto"/>
        <w:right w:val="none" w:sz="0" w:space="0" w:color="auto"/>
      </w:divBdr>
    </w:div>
    <w:div w:id="210799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annafesyuk/Downloads/Finlab_lesson_1_descriptive_analysis-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Histogram of Returns</a:t>
            </a:r>
          </a:p>
        </c:rich>
      </c:tx>
      <c:overlay val="0"/>
      <c:spPr>
        <a:noFill/>
        <a:ln>
          <a:noFill/>
        </a:ln>
        <a:effectLst/>
      </c:spPr>
    </c:title>
    <c:autoTitleDeleted val="0"/>
    <c:plotArea>
      <c:layout/>
      <c:barChart>
        <c:barDir val="col"/>
        <c:grouping val="clustered"/>
        <c:varyColors val="0"/>
        <c:ser>
          <c:idx val="0"/>
          <c:order val="0"/>
          <c:spPr>
            <a:solidFill>
              <a:schemeClr val="accent1"/>
            </a:solidFill>
            <a:ln>
              <a:solidFill>
                <a:schemeClr val="tx1"/>
              </a:solidFill>
            </a:ln>
            <a:effectLst/>
          </c:spPr>
          <c:invertIfNegative val="0"/>
          <c:cat>
            <c:numRef>
              <c:f>Lab!$H$9:$H$30</c:f>
              <c:numCache>
                <c:formatCode>0.0000</c:formatCode>
                <c:ptCount val="22"/>
                <c:pt idx="0">
                  <c:v>-6.2874894493285218</c:v>
                </c:pt>
                <c:pt idx="1">
                  <c:v>-5.5568795823471095</c:v>
                </c:pt>
                <c:pt idx="2">
                  <c:v>-4.826269715365699</c:v>
                </c:pt>
                <c:pt idx="3">
                  <c:v>-4.0956598483842868</c:v>
                </c:pt>
                <c:pt idx="4">
                  <c:v>-3.3650499814028758</c:v>
                </c:pt>
                <c:pt idx="5">
                  <c:v>-2.6344401144214644</c:v>
                </c:pt>
                <c:pt idx="6">
                  <c:v>-1.903830247440053</c:v>
                </c:pt>
                <c:pt idx="7">
                  <c:v>-1.1732203804586421</c:v>
                </c:pt>
                <c:pt idx="8">
                  <c:v>-0.44261051347723079</c:v>
                </c:pt>
                <c:pt idx="9">
                  <c:v>0.28799935350418038</c:v>
                </c:pt>
                <c:pt idx="10">
                  <c:v>1.0186092204855917</c:v>
                </c:pt>
                <c:pt idx="11">
                  <c:v>1.7492190874670026</c:v>
                </c:pt>
                <c:pt idx="12">
                  <c:v>2.479828954448414</c:v>
                </c:pt>
                <c:pt idx="13">
                  <c:v>3.210438821429825</c:v>
                </c:pt>
                <c:pt idx="14">
                  <c:v>3.9410486884112363</c:v>
                </c:pt>
                <c:pt idx="15">
                  <c:v>4.6716585553926482</c:v>
                </c:pt>
                <c:pt idx="16">
                  <c:v>5.4022684223740587</c:v>
                </c:pt>
                <c:pt idx="17">
                  <c:v>6.132878289355471</c:v>
                </c:pt>
                <c:pt idx="18">
                  <c:v>6.8634881563368815</c:v>
                </c:pt>
                <c:pt idx="19">
                  <c:v>7.5940980233182938</c:v>
                </c:pt>
                <c:pt idx="20">
                  <c:v>8.3247078902997043</c:v>
                </c:pt>
                <c:pt idx="21">
                  <c:v>9.0553177572811148</c:v>
                </c:pt>
              </c:numCache>
            </c:numRef>
          </c:cat>
          <c:val>
            <c:numRef>
              <c:f>Lab!$L$9:$L$30</c:f>
              <c:numCache>
                <c:formatCode>0.00%</c:formatCode>
                <c:ptCount val="22"/>
                <c:pt idx="0">
                  <c:v>1.9880715705765406E-3</c:v>
                </c:pt>
                <c:pt idx="1">
                  <c:v>3.9761431411530811E-3</c:v>
                </c:pt>
                <c:pt idx="2">
                  <c:v>3.9761431411530811E-3</c:v>
                </c:pt>
                <c:pt idx="3">
                  <c:v>5.9642147117296221E-3</c:v>
                </c:pt>
                <c:pt idx="4">
                  <c:v>2.186878727634195E-2</c:v>
                </c:pt>
                <c:pt idx="5">
                  <c:v>4.9701789264413522E-2</c:v>
                </c:pt>
                <c:pt idx="6">
                  <c:v>7.7534791252485094E-2</c:v>
                </c:pt>
                <c:pt idx="7">
                  <c:v>0.12326043737574553</c:v>
                </c:pt>
                <c:pt idx="8">
                  <c:v>0.18489065606361829</c:v>
                </c:pt>
                <c:pt idx="9">
                  <c:v>0.18489065606361829</c:v>
                </c:pt>
                <c:pt idx="10">
                  <c:v>0.16699801192842942</c:v>
                </c:pt>
                <c:pt idx="11">
                  <c:v>9.9403578528827044E-2</c:v>
                </c:pt>
                <c:pt idx="12">
                  <c:v>3.7773359840954271E-2</c:v>
                </c:pt>
                <c:pt idx="13">
                  <c:v>1.7892644135188866E-2</c:v>
                </c:pt>
                <c:pt idx="14">
                  <c:v>7.9522862823061622E-3</c:v>
                </c:pt>
                <c:pt idx="15">
                  <c:v>7.9522862823061622E-3</c:v>
                </c:pt>
                <c:pt idx="16">
                  <c:v>1.9880715705765406E-3</c:v>
                </c:pt>
                <c:pt idx="17">
                  <c:v>0</c:v>
                </c:pt>
                <c:pt idx="18">
                  <c:v>0</c:v>
                </c:pt>
                <c:pt idx="19">
                  <c:v>0</c:v>
                </c:pt>
                <c:pt idx="20">
                  <c:v>0</c:v>
                </c:pt>
                <c:pt idx="21">
                  <c:v>1.9880715705765406E-3</c:v>
                </c:pt>
              </c:numCache>
            </c:numRef>
          </c:val>
          <c:extLst>
            <c:ext xmlns:c16="http://schemas.microsoft.com/office/drawing/2014/chart" uri="{C3380CC4-5D6E-409C-BE32-E72D297353CC}">
              <c16:uniqueId val="{00000000-8AE2-5146-886F-5935E48861C4}"/>
            </c:ext>
          </c:extLst>
        </c:ser>
        <c:dLbls>
          <c:showLegendKey val="0"/>
          <c:showVal val="0"/>
          <c:showCatName val="0"/>
          <c:showSerName val="0"/>
          <c:showPercent val="0"/>
          <c:showBubbleSize val="0"/>
        </c:dLbls>
        <c:gapWidth val="0"/>
        <c:overlap val="-27"/>
        <c:axId val="156584192"/>
        <c:axId val="156884992"/>
      </c:barChart>
      <c:catAx>
        <c:axId val="156584192"/>
        <c:scaling>
          <c:orientation val="minMax"/>
        </c:scaling>
        <c:delete val="0"/>
        <c:axPos val="b"/>
        <c:numFmt formatCode="0.000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A"/>
          </a:p>
        </c:txPr>
        <c:crossAx val="156884992"/>
        <c:crosses val="autoZero"/>
        <c:auto val="1"/>
        <c:lblAlgn val="ctr"/>
        <c:lblOffset val="100"/>
        <c:noMultiLvlLbl val="0"/>
      </c:catAx>
      <c:valAx>
        <c:axId val="1568849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vert="horz"/>
          <a:lstStyle/>
          <a:p>
            <a:pPr>
              <a:defRPr/>
            </a:pPr>
            <a:endParaRPr lang="en-UA"/>
          </a:p>
        </c:txPr>
        <c:crossAx val="156584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A"/>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34B139A53B8C4B81332B6122F81567" ma:contentTypeVersion="16" ma:contentTypeDescription="Create a new document." ma:contentTypeScope="" ma:versionID="13798a2ad90c920c4cd5a674cf4184eb">
  <xsd:schema xmlns:xsd="http://www.w3.org/2001/XMLSchema" xmlns:xs="http://www.w3.org/2001/XMLSchema" xmlns:p="http://schemas.microsoft.com/office/2006/metadata/properties" xmlns:ns2="bacc66b7-8560-413d-bb66-576a2a80d770" xmlns:ns3="44601738-8d2a-4f95-ad56-bbce9221c827" xmlns:ns4="8aa37d20-2efd-4134-91ab-e3c3bd8339a0" targetNamespace="http://schemas.microsoft.com/office/2006/metadata/properties" ma:root="true" ma:fieldsID="09e74e13c3e4f392e0e7b6fbc5c5d33f" ns2:_="" ns3:_="" ns4:_="">
    <xsd:import namespace="bacc66b7-8560-413d-bb66-576a2a80d770"/>
    <xsd:import namespace="44601738-8d2a-4f95-ad56-bbce9221c827"/>
    <xsd:import namespace="8aa37d20-2efd-4134-91ab-e3c3bd8339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cc66b7-8560-413d-bb66-576a2a80d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a2040ca-90fd-4fa0-8811-2eb1382374f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601738-8d2a-4f95-ad56-bbce9221c82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a37d20-2efd-4134-91ab-e3c3bd8339a0"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e7b31572-b936-4950-9b3b-20cac53681f7}" ma:internalName="TaxCatchAll" ma:showField="CatchAllData" ma:web="8aa37d20-2efd-4134-91ab-e3c3bd8339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cc66b7-8560-413d-bb66-576a2a80d770">
      <Terms xmlns="http://schemas.microsoft.com/office/infopath/2007/PartnerControls"/>
    </lcf76f155ced4ddcb4097134ff3c332f>
    <TaxCatchAll xmlns="8aa37d20-2efd-4134-91ab-e3c3bd8339a0" xsi:nil="true"/>
  </documentManagement>
</p:properties>
</file>

<file path=customXml/itemProps1.xml><?xml version="1.0" encoding="utf-8"?>
<ds:datastoreItem xmlns:ds="http://schemas.openxmlformats.org/officeDocument/2006/customXml" ds:itemID="{383556F5-E633-4E9A-95D0-E1656AB34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cc66b7-8560-413d-bb66-576a2a80d770"/>
    <ds:schemaRef ds:uri="44601738-8d2a-4f95-ad56-bbce9221c827"/>
    <ds:schemaRef ds:uri="8aa37d20-2efd-4134-91ab-e3c3bd8339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BFD34A-7C42-45F9-8DF8-8E2BDF935BA8}">
  <ds:schemaRefs>
    <ds:schemaRef ds:uri="http://schemas.microsoft.com/sharepoint/v3/contenttype/forms"/>
  </ds:schemaRefs>
</ds:datastoreItem>
</file>

<file path=customXml/itemProps3.xml><?xml version="1.0" encoding="utf-8"?>
<ds:datastoreItem xmlns:ds="http://schemas.openxmlformats.org/officeDocument/2006/customXml" ds:itemID="{B42A6CD1-535C-4D20-A15D-6A7F52FE83D8}">
  <ds:schemaRefs>
    <ds:schemaRef ds:uri="http://schemas.microsoft.com/office/2006/metadata/properties"/>
    <ds:schemaRef ds:uri="http://schemas.microsoft.com/office/infopath/2007/PartnerControls"/>
    <ds:schemaRef ds:uri="bacc66b7-8560-413d-bb66-576a2a80d770"/>
    <ds:schemaRef ds:uri="8aa37d20-2efd-4134-91ab-e3c3bd8339a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1128</Words>
  <Characters>6436</Characters>
  <Application>Microsoft Office Word</Application>
  <DocSecurity>0</DocSecurity>
  <Lines>53</Lines>
  <Paragraphs>15</Paragraphs>
  <ScaleCrop>false</ScaleCrop>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Walls</dc:creator>
  <cp:keywords/>
  <dc:description/>
  <cp:lastModifiedBy>annafesiukstudy@outlook.com</cp:lastModifiedBy>
  <cp:revision>2</cp:revision>
  <cp:lastPrinted>2019-03-14T18:22:00Z</cp:lastPrinted>
  <dcterms:created xsi:type="dcterms:W3CDTF">2023-09-27T22:58:00Z</dcterms:created>
  <dcterms:modified xsi:type="dcterms:W3CDTF">2023-09-27T22:58:00Z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0x0101003634B139A53B8C4B81332B6122F81567</vt:lpwstr>
  </property>
  <property fmtid="{D5CDD505-2E9C-101B-9397-08002B2CF9AE}" pid="3" name="MediaServiceImageTags">
    <vt:lpwstr/>
  </property>
</Properties>
</file>