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4541D8BB" w14:textId="77777777" w:rsidR="006064B2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36A40DE7" w14:textId="0B7FC565" w:rsidR="00A06CC5" w:rsidRPr="00DE31DE" w:rsidRDefault="00A06CC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BE61A8" w:rsidRPr="00DE31DE" w14:paraId="59724D28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4D37CE9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la opción “Recepción de equipo”.</w:t>
            </w:r>
          </w:p>
          <w:p w14:paraId="072E0CB4" w14:textId="4B5A0A6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</w:t>
            </w:r>
            <w:r w:rsidR="003F317D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B66F68">
              <w:rPr>
                <w:rFonts w:ascii="Arial" w:hAnsi="Arial" w:cs="Arial"/>
                <w:sz w:val="24"/>
                <w:szCs w:val="24"/>
              </w:rPr>
              <w:t>los nombres de los técnicos</w:t>
            </w:r>
            <w:r w:rsidR="003F317D"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 posteriormente muestra la interfaz “</w:t>
            </w:r>
            <w:r w:rsidR="005571EA" w:rsidRPr="00B66F68">
              <w:rPr>
                <w:rFonts w:ascii="Arial" w:hAnsi="Arial" w:cs="Arial"/>
                <w:sz w:val="24"/>
                <w:szCs w:val="24"/>
              </w:rPr>
              <w:t>R</w:t>
            </w:r>
            <w:r w:rsidR="005571EA">
              <w:rPr>
                <w:rFonts w:ascii="Arial" w:hAnsi="Arial" w:cs="Arial"/>
                <w:sz w:val="24"/>
                <w:szCs w:val="24"/>
              </w:rPr>
              <w:t>ecepción de 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”, la cual contiene el primer panel con la fecha actual y un número de servicio generado automáticamente por el sistema con el día del mes, el </w:t>
            </w:r>
            <w:r w:rsidR="00A312CB"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mes y el número de contratos actuales más uno, una </w:t>
            </w:r>
            <w:r w:rsidR="00FF6F35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con los nombres </w:t>
            </w:r>
            <w:r w:rsidR="00FF6F35">
              <w:rPr>
                <w:rFonts w:ascii="Arial" w:hAnsi="Arial" w:cs="Arial"/>
                <w:sz w:val="24"/>
                <w:szCs w:val="24"/>
              </w:rPr>
              <w:t xml:space="preserve">de TÉCNICOS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recuperados desde la base de datos, campos para ingresar nombre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apellidos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teléfono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e-mail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CLIENTE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(opcional), marca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número de serie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así como casillas de verificación para marcar si 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>llegó con maletín, cargador, batería y/o accesorio, los botones  “Siguiente” y “Volver” activados más el botón “Registrar” desactivado.</w:t>
            </w:r>
          </w:p>
          <w:p w14:paraId="0CAA15D5" w14:textId="3CCDE80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obligatoria y, opcionalmente, la información extra que pide el sistema y presiona la opción “Siguiente” (ver FA1, FA2, FA3, FA4).</w:t>
            </w:r>
          </w:p>
          <w:p w14:paraId="741447F2" w14:textId="50AC2C4F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"Siguiente"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 que contiene campos de texto para ingresar los defectos reportados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, observaciones del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EQUIPO </w:t>
            </w:r>
            <w:r w:rsidRPr="00B66F68">
              <w:rPr>
                <w:rFonts w:ascii="Arial" w:hAnsi="Arial" w:cs="Arial"/>
                <w:sz w:val="24"/>
                <w:szCs w:val="24"/>
              </w:rPr>
              <w:t>(opcional), el total a pagar y el anticipo que recibió por el servicio (opcional), los botones “Anterior” y “Volver” activados más el botón “Registrar” desactivado.</w:t>
            </w:r>
          </w:p>
          <w:p w14:paraId="4918F843" w14:textId="6309B124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236998B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169C3968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la información, genera un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CONTRATO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para mostrarlo </w:t>
            </w: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>en archivo PDF y posteriormente vacía los campos (ver FA7,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1C337D8B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FA1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opción volver con campos vacíos:</w:t>
            </w:r>
          </w:p>
          <w:p w14:paraId="6CFF578D" w14:textId="7888DDD5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</w:t>
            </w:r>
            <w:r w:rsidR="005571EA" w:rsidRPr="00B66F68">
              <w:rPr>
                <w:rFonts w:ascii="Arial" w:hAnsi="Arial" w:cs="Arial"/>
                <w:sz w:val="24"/>
                <w:szCs w:val="24"/>
              </w:rPr>
              <w:t>Principal</w:t>
            </w:r>
            <w:r w:rsidRPr="00B66F68">
              <w:rPr>
                <w:rFonts w:ascii="Arial" w:hAnsi="Arial" w:cs="Arial"/>
                <w:sz w:val="24"/>
                <w:szCs w:val="24"/>
              </w:rPr>
              <w:t>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0A94CB16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FA2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1434B59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la opción “Aceptar” (ver FA2.2).</w:t>
            </w:r>
          </w:p>
          <w:p w14:paraId="5227E11E" w14:textId="3FB47B3F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</w:t>
            </w:r>
            <w:r w:rsidR="005571EA" w:rsidRPr="00B66F68">
              <w:rPr>
                <w:rFonts w:ascii="Arial" w:hAnsi="Arial" w:cs="Arial"/>
                <w:sz w:val="24"/>
                <w:szCs w:val="24"/>
              </w:rPr>
              <w:t>Principal</w:t>
            </w:r>
            <w:r w:rsidRPr="00B66F68">
              <w:rPr>
                <w:rFonts w:ascii="Arial" w:hAnsi="Arial" w:cs="Arial"/>
                <w:sz w:val="24"/>
                <w:szCs w:val="24"/>
              </w:rPr>
              <w:t>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05054CC5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FA2.2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selecciona opción “Cancelar” en mensaje de confirmación:</w:t>
            </w:r>
          </w:p>
          <w:p w14:paraId="1AB79EE9" w14:textId="12BFE4E1" w:rsidR="00B66F68" w:rsidRPr="00EC7B21" w:rsidRDefault="00B66F68" w:rsidP="00EC7B2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</w:t>
            </w:r>
            <w:r w:rsidR="005571EA" w:rsidRPr="00EC7B21">
              <w:rPr>
                <w:rFonts w:ascii="Arial" w:hAnsi="Arial" w:cs="Arial"/>
                <w:sz w:val="24"/>
                <w:szCs w:val="24"/>
              </w:rPr>
              <w:t>Recepción de equipo</w:t>
            </w:r>
            <w:r w:rsidRPr="00EC7B21">
              <w:rPr>
                <w:rFonts w:ascii="Arial" w:hAnsi="Arial" w:cs="Arial"/>
                <w:sz w:val="24"/>
                <w:szCs w:val="24"/>
              </w:rPr>
              <w:t>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026DDD8A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FA3 </w:t>
            </w:r>
            <w:r w:rsidR="001041A2">
              <w:rPr>
                <w:rFonts w:ascii="Arial" w:hAnsi="Arial" w:cs="Arial"/>
                <w:sz w:val="24"/>
                <w:szCs w:val="24"/>
              </w:rPr>
              <w:t>TÉCNICO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6F68">
              <w:rPr>
                <w:rFonts w:ascii="Arial" w:hAnsi="Arial" w:cs="Arial"/>
                <w:sz w:val="24"/>
                <w:szCs w:val="24"/>
              </w:rPr>
              <w:t>marca la casilla “Accesorio”:</w:t>
            </w:r>
          </w:p>
          <w:p w14:paraId="606A484C" w14:textId="7CC6695D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sistema muestra un campo de texto para ingresar </w:t>
            </w:r>
            <w:r w:rsidR="001041A2">
              <w:rPr>
                <w:rFonts w:ascii="Arial" w:hAnsi="Arial" w:cs="Arial"/>
                <w:sz w:val="24"/>
                <w:szCs w:val="24"/>
              </w:rPr>
              <w:t>la descripción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 del accesorio con el cual llegó 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>EQUIPO</w:t>
            </w:r>
            <w:r w:rsidRPr="00B66F6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6473C2" w14:textId="4A316EE9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041A2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1D9CDC3D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FA4 El </w:t>
            </w:r>
            <w:r w:rsidR="00811C2C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5FAF4318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FA5 El </w:t>
            </w:r>
            <w:r w:rsidR="00811C2C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presiona la opción “Anterior” sin información o con información parcial:</w:t>
            </w:r>
          </w:p>
          <w:p w14:paraId="0AAD0128" w14:textId="173E315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811C2C">
              <w:rPr>
                <w:rFonts w:ascii="Arial" w:hAnsi="Arial" w:cs="Arial"/>
                <w:sz w:val="24"/>
                <w:szCs w:val="24"/>
              </w:rPr>
              <w:t xml:space="preserve">el panel 1 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en el estado que tenía antes de cambiar de </w:t>
            </w:r>
            <w:r w:rsidR="003A1CDF">
              <w:rPr>
                <w:rFonts w:ascii="Arial" w:hAnsi="Arial" w:cs="Arial"/>
                <w:sz w:val="24"/>
                <w:szCs w:val="24"/>
              </w:rPr>
              <w:t>panel</w:t>
            </w:r>
            <w:r w:rsidRPr="00B66F6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A8E0AF8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FA6 El 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3A1740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3A1740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3A1740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3A174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238D4E81" w14:textId="77777777" w:rsidR="003A1740" w:rsidRPr="003A1740" w:rsidRDefault="00B66F68" w:rsidP="003A1740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3A174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 w:rsidRPr="003A174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3A1740">
              <w:rPr>
                <w:rFonts w:ascii="Arial" w:hAnsi="Arial" w:cs="Arial"/>
                <w:sz w:val="24"/>
                <w:szCs w:val="24"/>
              </w:rPr>
              <w:t>selecciona la opción “Aceptar” del mensaje.</w:t>
            </w:r>
          </w:p>
          <w:p w14:paraId="34AF73BD" w14:textId="1A46A74F" w:rsidR="00B66F68" w:rsidRPr="003A1740" w:rsidRDefault="00B66F68" w:rsidP="003A1740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3A1740">
              <w:rPr>
                <w:rFonts w:ascii="Arial" w:hAnsi="Arial" w:cs="Arial"/>
                <w:sz w:val="24"/>
                <w:szCs w:val="24"/>
              </w:rPr>
              <w:t>El sistema cierra el mensaje y permanece en la interfaz “</w:t>
            </w:r>
            <w:r w:rsidR="003A1740" w:rsidRPr="003A1740">
              <w:rPr>
                <w:rFonts w:ascii="Arial" w:hAnsi="Arial" w:cs="Arial"/>
                <w:sz w:val="24"/>
                <w:szCs w:val="24"/>
              </w:rPr>
              <w:t>RECEPCIÓN DE EQUIPO</w:t>
            </w:r>
            <w:r w:rsidRPr="003A1740">
              <w:rPr>
                <w:rFonts w:ascii="Arial" w:hAnsi="Arial" w:cs="Arial"/>
                <w:sz w:val="24"/>
                <w:szCs w:val="24"/>
              </w:rPr>
              <w:t>” sin realizar algún cambio.</w:t>
            </w:r>
          </w:p>
          <w:p w14:paraId="49F7E0C4" w14:textId="7C5E26CD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 w:rsidRPr="00B66F68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66F68">
              <w:rPr>
                <w:rFonts w:ascii="Arial" w:hAnsi="Arial" w:cs="Arial"/>
                <w:sz w:val="24"/>
                <w:szCs w:val="24"/>
              </w:rPr>
              <w:t>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EA93F0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1153B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175B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5C3F29" w14:textId="77777777" w:rsidR="00DC2561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401FC42B" w14:textId="3CCFB61F" w:rsidR="001C1ECB" w:rsidRPr="00DE31DE" w:rsidRDefault="001C1ECB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21C4155F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PRE’1.- El técnico se encuentra en la interfaz 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del sistema.</w:t>
            </w:r>
          </w:p>
          <w:p w14:paraId="4D830C0A" w14:textId="0653A7E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PRE2.- </w:t>
            </w:r>
            <w:r w:rsidR="006240CC">
              <w:rPr>
                <w:rFonts w:ascii="Arial" w:hAnsi="Arial" w:cs="Arial"/>
                <w:sz w:val="24"/>
                <w:szCs w:val="24"/>
                <w:lang w:val="es-ES"/>
              </w:rPr>
              <w:t>Debe existir, al menos, un registro en base de datos.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BEA3C" w14:textId="7975BB72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presiona la opción “Buscar”.</w:t>
            </w:r>
          </w:p>
          <w:p w14:paraId="5A45C04F" w14:textId="7F0D02A8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lastRenderedPageBreak/>
              <w:t>El sistema cierra la interfaz actual, carga los criterios de búsqueda y muestra la interfaz “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BÚSQUEDA DE INFORMACIÓN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”, la cual contiene una lista con los criterios de búsqueda “Número de servicio”, “Modelo de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EQUIPO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”, “Nombre de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CLIENTE</w:t>
            </w:r>
            <w:r w:rsidRPr="00483D90">
              <w:rPr>
                <w:rFonts w:ascii="Arial" w:hAnsi="Arial" w:cs="Arial"/>
                <w:sz w:val="24"/>
                <w:szCs w:val="24"/>
              </w:rPr>
              <w:t>”, “Fecha de recepción” y “Número de serie”, un campo de texto para la entrada de información a buscar, una tabla para mostrar los resultados encontrados, un botón activado para iniciar la búsqueda y un botón para volver a la pantalla principal.</w:t>
            </w:r>
          </w:p>
          <w:p w14:paraId="40EF7F99" w14:textId="6C72A163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uno de los criterios de búsqueda que hay en la lista e ingresa la información a buscar en el cuadro de texto (ver FA1).</w:t>
            </w:r>
          </w:p>
          <w:p w14:paraId="3EFEF5CF" w14:textId="46494631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la opción “Buscar”.</w:t>
            </w:r>
          </w:p>
          <w:p w14:paraId="5628EF3F" w14:textId="361FBC38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sistema busca la información en la base de datos según el criterio seleccionado y la entrada introducida por el 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>TÉCNICO</w:t>
            </w:r>
            <w:r w:rsidRPr="00483D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6F370C" w14:textId="34F3AB83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</w:t>
            </w:r>
            <w:r w:rsidR="007A7E6D" w:rsidRPr="00483D90">
              <w:rPr>
                <w:rFonts w:ascii="Arial" w:hAnsi="Arial" w:cs="Arial"/>
                <w:sz w:val="24"/>
                <w:szCs w:val="24"/>
              </w:rPr>
              <w:t xml:space="preserve"> en la tabla de la interfaz</w:t>
            </w:r>
            <w:r w:rsidRPr="00483D90">
              <w:rPr>
                <w:rFonts w:ascii="Arial" w:hAnsi="Arial" w:cs="Arial"/>
                <w:sz w:val="24"/>
                <w:szCs w:val="24"/>
              </w:rPr>
              <w:t xml:space="preserve"> los resultados encontrados (ver FA2, EX1).</w:t>
            </w:r>
          </w:p>
          <w:p w14:paraId="2A7153A6" w14:textId="22974CD1" w:rsidR="00DC2561" w:rsidRPr="00483D90" w:rsidRDefault="00483D90" w:rsidP="00483D90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DD63D" w14:textId="05CDAAF5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presiona opción volver:</w:t>
            </w:r>
          </w:p>
          <w:p w14:paraId="36209988" w14:textId="58F25FE0" w:rsidR="00483D90" w:rsidRPr="00483D90" w:rsidRDefault="00483D90" w:rsidP="00483D90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la interfaz </w:t>
            </w:r>
            <w:r w:rsidR="00B01CCD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B01CCD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 y cierra la interfaz actual.</w:t>
            </w:r>
          </w:p>
          <w:p w14:paraId="1BAED92A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1DCDE32C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0CA53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13AECCF6" w14:textId="23E9F31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3F9C81E" w14:textId="0F0D025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01CCD" w:rsidRPr="00483D90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del mensaje.</w:t>
            </w:r>
          </w:p>
          <w:p w14:paraId="107EFD12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vacía los campos de búsqueda.</w:t>
            </w:r>
          </w:p>
          <w:p w14:paraId="3E978960" w14:textId="72BF4AAB" w:rsidR="00F92C93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DB578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010783A2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18517DF6" w14:textId="53EE2AC2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01CCD" w:rsidRPr="00483D90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483D90"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06BF8155" w14:textId="095A069F" w:rsidR="00DC2561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27374484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4936A082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 xml:space="preserve"> de recepción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B60F5D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6CA79" w14:textId="77777777" w:rsidR="00F32C2F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72F12523" w14:textId="6B40B17F" w:rsidR="00213203" w:rsidRPr="00DE31DE" w:rsidRDefault="00213203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05/08/2020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9E098" w14:textId="1E4E864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da doble clic sobre el resultado de búsqueda que desea editar.</w:t>
            </w:r>
          </w:p>
          <w:p w14:paraId="1019E064" w14:textId="04B1DEA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envía la información seleccionada a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</w:rPr>
              <w:t>” y la muestra en el panel 1 con los campos deshabilitados y las opciones “Siguiente”, “Editar” y “Volver”.</w:t>
            </w:r>
          </w:p>
          <w:p w14:paraId="4BC22682" w14:textId="501EA288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selecciona la opción “Editar” (ver FA1, FA2).</w:t>
            </w:r>
          </w:p>
          <w:p w14:paraId="724C27D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habilita los campos, manteniendo deshabilitado el campo “Fecha” y “Numero de servicio” y cambia la opción “Editar” por la opción “Actualizar”.</w:t>
            </w:r>
          </w:p>
          <w:p w14:paraId="6EA09CAC" w14:textId="56AC7BE6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modifica la información necesaria y selecciona la opción “Siguiente” (ver FA3).</w:t>
            </w:r>
          </w:p>
          <w:p w14:paraId="22A75637" w14:textId="3B37EF1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muestra el panel 2 y oculta el panel 1, cambiando la opción "</w:t>
            </w:r>
            <w:r w:rsidRPr="008A06D1">
              <w:rPr>
                <w:rFonts w:ascii="Arial" w:hAnsi="Arial" w:cs="Arial"/>
                <w:sz w:val="24"/>
                <w:szCs w:val="24"/>
              </w:rPr>
              <w:t>Siguiente</w:t>
            </w:r>
            <w:r w:rsidRPr="00B11E7C">
              <w:rPr>
                <w:rFonts w:ascii="Arial" w:hAnsi="Arial" w:cs="Arial"/>
                <w:sz w:val="24"/>
                <w:szCs w:val="24"/>
              </w:rPr>
              <w:t>" por la opción "Anterior”.</w:t>
            </w:r>
          </w:p>
          <w:p w14:paraId="08A34CD5" w14:textId="139305C3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</w:rPr>
              <w:t>modifica la información necesaria y selecciona la opción “Actualizar” (ver FA3, FA4).</w:t>
            </w:r>
          </w:p>
          <w:p w14:paraId="7BC73A7A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valida que la información introducida sea válida y que los campos obligatorios estén llenos.</w:t>
            </w:r>
          </w:p>
          <w:p w14:paraId="251B55E1" w14:textId="279A036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actualiza la información en la base de datos, deshabilita los campos, muestra nuevamente el botón “Editar”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11E7C">
              <w:rPr>
                <w:rFonts w:ascii="Arial" w:hAnsi="Arial" w:cs="Arial"/>
                <w:sz w:val="24"/>
                <w:szCs w:val="24"/>
              </w:rPr>
              <w:t xml:space="preserve"> oculta el botón “Actualizar” y actualiza la información en la interfaz (ver FA5, EX1).</w:t>
            </w:r>
          </w:p>
          <w:p w14:paraId="65287E78" w14:textId="24BA6072" w:rsidR="00601805" w:rsidRPr="00601805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03BA1" w14:textId="31C6714F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“Volver” sin realizar cambios en la información:</w:t>
            </w:r>
          </w:p>
          <w:p w14:paraId="717C56F8" w14:textId="77777777" w:rsidR="00B11E7C" w:rsidRPr="00B11E7C" w:rsidRDefault="00B11E7C" w:rsidP="00B11E7C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4A214CD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A8EECB0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1B086F" w14:textId="3A862FBE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FA2 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“Siguiente”:</w:t>
            </w:r>
          </w:p>
          <w:p w14:paraId="201F64C4" w14:textId="2D008906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el panel 2 y oculta e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 panel 1.</w:t>
            </w:r>
          </w:p>
          <w:p w14:paraId="6F696FE4" w14:textId="41FB266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“Editar”.</w:t>
            </w:r>
          </w:p>
          <w:p w14:paraId="3AF682FA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habilita los campos y cambia el botón “Editar” por el botón “Actualizar”.</w:t>
            </w:r>
          </w:p>
          <w:p w14:paraId="1E0B821F" w14:textId="2B7C89A1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modifica la información necesaria y presiona la opción “Actualizar” (ver FA2.1).</w:t>
            </w:r>
          </w:p>
          <w:p w14:paraId="3A8B95C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  <w:p w14:paraId="17FF090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0A41C9" w14:textId="034CEF88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FA2.1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presiona opción "Anterior":</w:t>
            </w:r>
          </w:p>
          <w:p w14:paraId="5A8A999B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oculta el panel 2 y muestra el panel 1.</w:t>
            </w:r>
          </w:p>
          <w:p w14:paraId="1233A421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622C5124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31B309" w14:textId="2B4E2E49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“Volver” sin guardar cambios realizados:</w:t>
            </w:r>
          </w:p>
          <w:p w14:paraId="62AE3BC1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513752FF" w14:textId="0266C975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(ver FA3.1).</w:t>
            </w:r>
          </w:p>
          <w:p w14:paraId="5277F274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5E9D229B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4D4585A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F2610DD" w14:textId="2099FAA9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FA3.1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opción “Cancelar” en mensaje de confirmación:</w:t>
            </w:r>
          </w:p>
          <w:p w14:paraId="7261F860" w14:textId="2028D0A6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 y permanece en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33827216" w14:textId="77777777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5/7 del flujo normal.</w:t>
            </w:r>
          </w:p>
          <w:p w14:paraId="2E5F8F8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123092" w14:textId="758BAAC2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FA4 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“Anterior”:</w:t>
            </w:r>
          </w:p>
          <w:p w14:paraId="0BDE148E" w14:textId="4AD48E61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C7839">
              <w:rPr>
                <w:rFonts w:ascii="Arial" w:hAnsi="Arial" w:cs="Arial"/>
                <w:sz w:val="24"/>
                <w:szCs w:val="24"/>
                <w:lang w:val="es-ES"/>
              </w:rPr>
              <w:t>oculta el panel 2 y la opción “Anterior”, mostrando el panel 1 y la opción “Siguiente”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1C731F3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1D4111E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A17D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FA5 Hay información inválida o campos obligatorios vacíos:</w:t>
            </w:r>
          </w:p>
          <w:p w14:paraId="615B236D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error.</w:t>
            </w:r>
          </w:p>
          <w:p w14:paraId="006B0131" w14:textId="6396E1A1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selecciona la opción “Aceptar” del mensaje.</w:t>
            </w:r>
          </w:p>
          <w:p w14:paraId="24195A31" w14:textId="53F7EE16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>ACTUALIZACIÓN DE INFORMACIÓN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7BA5D5C7" w14:textId="6E58DB22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A0466D"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TÉCNICO 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corrige la información o termina de llenar la información faltante y presiona la opción “Actualizar”.</w:t>
            </w:r>
          </w:p>
          <w:p w14:paraId="72EA0F55" w14:textId="24071FAE" w:rsidR="00C822B1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6D8D7144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0466D">
              <w:rPr>
                <w:rFonts w:ascii="Arial" w:hAnsi="Arial" w:cs="Arial"/>
                <w:sz w:val="24"/>
                <w:szCs w:val="24"/>
              </w:rPr>
              <w:t xml:space="preserve">TÉCNICO </w:t>
            </w:r>
            <w:r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6F0A"/>
    <w:multiLevelType w:val="hybridMultilevel"/>
    <w:tmpl w:val="65307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D4B84"/>
    <w:multiLevelType w:val="hybridMultilevel"/>
    <w:tmpl w:val="8840A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E2508B"/>
    <w:multiLevelType w:val="hybridMultilevel"/>
    <w:tmpl w:val="7BC80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F7246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274AA"/>
    <w:multiLevelType w:val="hybridMultilevel"/>
    <w:tmpl w:val="F258B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5A519A"/>
    <w:multiLevelType w:val="hybridMultilevel"/>
    <w:tmpl w:val="72EAE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A03767"/>
    <w:multiLevelType w:val="hybridMultilevel"/>
    <w:tmpl w:val="D3B6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66784"/>
    <w:multiLevelType w:val="hybridMultilevel"/>
    <w:tmpl w:val="1A94E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C2EB4"/>
    <w:multiLevelType w:val="hybridMultilevel"/>
    <w:tmpl w:val="DD640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553E2"/>
    <w:multiLevelType w:val="hybridMultilevel"/>
    <w:tmpl w:val="7D78C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553CF7"/>
    <w:multiLevelType w:val="hybridMultilevel"/>
    <w:tmpl w:val="2F763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814DC"/>
    <w:multiLevelType w:val="hybridMultilevel"/>
    <w:tmpl w:val="EF9CE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3"/>
  </w:num>
  <w:num w:numId="4">
    <w:abstractNumId w:val="13"/>
  </w:num>
  <w:num w:numId="5">
    <w:abstractNumId w:val="49"/>
  </w:num>
  <w:num w:numId="6">
    <w:abstractNumId w:val="37"/>
  </w:num>
  <w:num w:numId="7">
    <w:abstractNumId w:val="2"/>
  </w:num>
  <w:num w:numId="8">
    <w:abstractNumId w:val="44"/>
  </w:num>
  <w:num w:numId="9">
    <w:abstractNumId w:val="34"/>
  </w:num>
  <w:num w:numId="10">
    <w:abstractNumId w:val="6"/>
  </w:num>
  <w:num w:numId="11">
    <w:abstractNumId w:val="38"/>
  </w:num>
  <w:num w:numId="12">
    <w:abstractNumId w:val="26"/>
  </w:num>
  <w:num w:numId="13">
    <w:abstractNumId w:val="32"/>
  </w:num>
  <w:num w:numId="14">
    <w:abstractNumId w:val="7"/>
  </w:num>
  <w:num w:numId="15">
    <w:abstractNumId w:val="10"/>
  </w:num>
  <w:num w:numId="16">
    <w:abstractNumId w:val="29"/>
  </w:num>
  <w:num w:numId="17">
    <w:abstractNumId w:val="4"/>
  </w:num>
  <w:num w:numId="18">
    <w:abstractNumId w:val="47"/>
  </w:num>
  <w:num w:numId="19">
    <w:abstractNumId w:val="33"/>
  </w:num>
  <w:num w:numId="20">
    <w:abstractNumId w:val="12"/>
  </w:num>
  <w:num w:numId="21">
    <w:abstractNumId w:val="0"/>
  </w:num>
  <w:num w:numId="22">
    <w:abstractNumId w:val="1"/>
  </w:num>
  <w:num w:numId="23">
    <w:abstractNumId w:val="36"/>
  </w:num>
  <w:num w:numId="24">
    <w:abstractNumId w:val="23"/>
  </w:num>
  <w:num w:numId="25">
    <w:abstractNumId w:val="46"/>
  </w:num>
  <w:num w:numId="26">
    <w:abstractNumId w:val="28"/>
  </w:num>
  <w:num w:numId="27">
    <w:abstractNumId w:val="39"/>
  </w:num>
  <w:num w:numId="28">
    <w:abstractNumId w:val="3"/>
  </w:num>
  <w:num w:numId="29">
    <w:abstractNumId w:val="48"/>
  </w:num>
  <w:num w:numId="30">
    <w:abstractNumId w:val="14"/>
  </w:num>
  <w:num w:numId="31">
    <w:abstractNumId w:val="15"/>
  </w:num>
  <w:num w:numId="32">
    <w:abstractNumId w:val="16"/>
  </w:num>
  <w:num w:numId="33">
    <w:abstractNumId w:val="17"/>
  </w:num>
  <w:num w:numId="34">
    <w:abstractNumId w:val="18"/>
  </w:num>
  <w:num w:numId="35">
    <w:abstractNumId w:val="19"/>
  </w:num>
  <w:num w:numId="36">
    <w:abstractNumId w:val="20"/>
  </w:num>
  <w:num w:numId="37">
    <w:abstractNumId w:val="21"/>
  </w:num>
  <w:num w:numId="38">
    <w:abstractNumId w:val="22"/>
  </w:num>
  <w:num w:numId="39">
    <w:abstractNumId w:val="25"/>
  </w:num>
  <w:num w:numId="40">
    <w:abstractNumId w:val="31"/>
  </w:num>
  <w:num w:numId="41">
    <w:abstractNumId w:val="24"/>
  </w:num>
  <w:num w:numId="42">
    <w:abstractNumId w:val="40"/>
  </w:num>
  <w:num w:numId="43">
    <w:abstractNumId w:val="27"/>
  </w:num>
  <w:num w:numId="44">
    <w:abstractNumId w:val="35"/>
  </w:num>
  <w:num w:numId="45">
    <w:abstractNumId w:val="45"/>
  </w:num>
  <w:num w:numId="46">
    <w:abstractNumId w:val="11"/>
  </w:num>
  <w:num w:numId="47">
    <w:abstractNumId w:val="41"/>
  </w:num>
  <w:num w:numId="48">
    <w:abstractNumId w:val="30"/>
  </w:num>
  <w:num w:numId="49">
    <w:abstractNumId w:val="5"/>
  </w:num>
  <w:num w:numId="50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46190"/>
    <w:rsid w:val="000B591E"/>
    <w:rsid w:val="000C7B0F"/>
    <w:rsid w:val="000E6511"/>
    <w:rsid w:val="001041A2"/>
    <w:rsid w:val="00175B6E"/>
    <w:rsid w:val="00176FC7"/>
    <w:rsid w:val="00195D90"/>
    <w:rsid w:val="001C1ECB"/>
    <w:rsid w:val="00213203"/>
    <w:rsid w:val="00223B5A"/>
    <w:rsid w:val="002358FF"/>
    <w:rsid w:val="00293477"/>
    <w:rsid w:val="002C2523"/>
    <w:rsid w:val="00334F06"/>
    <w:rsid w:val="00353558"/>
    <w:rsid w:val="00363C0F"/>
    <w:rsid w:val="003A1740"/>
    <w:rsid w:val="003A1CDF"/>
    <w:rsid w:val="003B0F06"/>
    <w:rsid w:val="003D16A0"/>
    <w:rsid w:val="003F317D"/>
    <w:rsid w:val="004327C7"/>
    <w:rsid w:val="00440DF2"/>
    <w:rsid w:val="0046102F"/>
    <w:rsid w:val="00483D90"/>
    <w:rsid w:val="0051433D"/>
    <w:rsid w:val="005571EA"/>
    <w:rsid w:val="005B52DC"/>
    <w:rsid w:val="005E7D52"/>
    <w:rsid w:val="00601805"/>
    <w:rsid w:val="006064B2"/>
    <w:rsid w:val="006240CC"/>
    <w:rsid w:val="0063264D"/>
    <w:rsid w:val="00655816"/>
    <w:rsid w:val="006E127A"/>
    <w:rsid w:val="006E2E20"/>
    <w:rsid w:val="007A7E6D"/>
    <w:rsid w:val="007B7132"/>
    <w:rsid w:val="00811C2C"/>
    <w:rsid w:val="00872675"/>
    <w:rsid w:val="008A06D1"/>
    <w:rsid w:val="008C33E9"/>
    <w:rsid w:val="00921F9E"/>
    <w:rsid w:val="00981188"/>
    <w:rsid w:val="00A0466D"/>
    <w:rsid w:val="00A06CC5"/>
    <w:rsid w:val="00A1153B"/>
    <w:rsid w:val="00A26BBD"/>
    <w:rsid w:val="00A312CB"/>
    <w:rsid w:val="00A36F38"/>
    <w:rsid w:val="00A37160"/>
    <w:rsid w:val="00A9551C"/>
    <w:rsid w:val="00AF21A5"/>
    <w:rsid w:val="00B01CCD"/>
    <w:rsid w:val="00B11E7C"/>
    <w:rsid w:val="00B258D4"/>
    <w:rsid w:val="00B30115"/>
    <w:rsid w:val="00B36057"/>
    <w:rsid w:val="00B57540"/>
    <w:rsid w:val="00B60F5D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C7839"/>
    <w:rsid w:val="00DE31DE"/>
    <w:rsid w:val="00DE4C4F"/>
    <w:rsid w:val="00E15D2C"/>
    <w:rsid w:val="00E167CA"/>
    <w:rsid w:val="00E3765C"/>
    <w:rsid w:val="00E445AC"/>
    <w:rsid w:val="00E84048"/>
    <w:rsid w:val="00EC7B21"/>
    <w:rsid w:val="00F32C2F"/>
    <w:rsid w:val="00F92C93"/>
    <w:rsid w:val="00FF6F35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1677FE"/>
    <w:rsid w:val="002D7668"/>
    <w:rsid w:val="00324C6A"/>
    <w:rsid w:val="00456079"/>
    <w:rsid w:val="00591872"/>
    <w:rsid w:val="005D00CE"/>
    <w:rsid w:val="009414F2"/>
    <w:rsid w:val="009C478E"/>
    <w:rsid w:val="009C4FC7"/>
    <w:rsid w:val="009E4F5B"/>
    <w:rsid w:val="00B02736"/>
    <w:rsid w:val="00BF16A9"/>
    <w:rsid w:val="00C54F3C"/>
    <w:rsid w:val="00E84F0F"/>
    <w:rsid w:val="00EE3D0D"/>
    <w:rsid w:val="00F43B6C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8</Pages>
  <Words>1845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53</cp:revision>
  <cp:lastPrinted>2020-07-31T01:01:00Z</cp:lastPrinted>
  <dcterms:created xsi:type="dcterms:W3CDTF">2020-07-01T23:36:00Z</dcterms:created>
  <dcterms:modified xsi:type="dcterms:W3CDTF">2020-08-11T01:33:00Z</dcterms:modified>
</cp:coreProperties>
</file>