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CAE2" w14:textId="77777777" w:rsidR="00B14648" w:rsidRPr="008B1CA6" w:rsidRDefault="00B14648">
      <w:pPr>
        <w:jc w:val="right"/>
        <w:rPr>
          <w:lang w:val="en-US"/>
        </w:rPr>
      </w:pPr>
    </w:p>
    <w:p w14:paraId="0EB20DCE" w14:textId="77777777" w:rsidR="00B14648" w:rsidRDefault="005E6EE2">
      <w:pPr>
        <w:pStyle w:val="Title"/>
        <w:bidi/>
      </w:pPr>
      <w:r>
        <w:rPr>
          <w:rtl/>
        </w:rPr>
        <w:t>إجراءات التشغيل الآمن لإدارة تقنية المعلومات (SOP)</w:t>
      </w:r>
    </w:p>
    <w:p w14:paraId="5FC8592C" w14:textId="77777777" w:rsidR="00585C51" w:rsidRDefault="00585C51" w:rsidP="00585C51">
      <w:pPr>
        <w:rPr>
          <w:rFonts w:ascii="Roboto" w:eastAsia="Roboto" w:hAnsi="Roboto" w:cs="Roboto"/>
        </w:rPr>
      </w:pPr>
    </w:p>
    <w:tbl>
      <w:tblPr>
        <w:tblStyle w:val="a5"/>
        <w:tblW w:w="89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0"/>
        <w:gridCol w:w="1276"/>
      </w:tblGrid>
      <w:tr w:rsidR="00336B8C" w14:paraId="650329AC" w14:textId="77777777" w:rsidTr="00336B8C">
        <w:trPr>
          <w:trHeight w:val="380"/>
        </w:trPr>
        <w:tc>
          <w:tcPr>
            <w:tcW w:w="7650" w:type="dxa"/>
            <w:tcBorders>
              <w:top w:val="single" w:sz="4" w:space="0" w:color="0F9ED5"/>
              <w:left w:val="single" w:sz="4" w:space="0" w:color="0F9ED5"/>
              <w:bottom w:val="single" w:sz="4" w:space="0" w:color="0F9ED5" w:themeColor="accent4"/>
              <w:right w:val="single" w:sz="4" w:space="0" w:color="FFFFFF" w:themeColor="background1"/>
            </w:tcBorders>
          </w:tcPr>
          <w:p w14:paraId="7E996AB8" w14:textId="7427223D" w:rsidR="00336B8C" w:rsidRPr="0008023E" w:rsidRDefault="00336B8C" w:rsidP="00897F41">
            <w:pPr>
              <w:bidi/>
              <w:jc w:val="both"/>
              <w:rPr>
                <w:rFonts w:eastAsia="Roboto"/>
                <w:b/>
                <w:bCs/>
                <w:color w:val="FFFFFF" w:themeColor="background1"/>
                <w:rtl/>
              </w:rPr>
            </w:pPr>
            <w:r>
              <w:rPr>
                <w:rtl/>
              </w:rPr>
              <w:t>إجراءات التشغيل الآمن لإدارة تقنية المعلومات (M8) - حزمة من ستة إجراءات تشغيلية: SOP-IT-001 النسخ الاحتياطي والاستعادة، SOP-IT-002 إدارة التغيير على الأنظمة والشبكات، SOP-IT-003 إدارة الثغرات والترقيع، SOP-IT-004 إدارة الشهادات الرقمية ومفاتيح التشفير، SOP-IT-005 إدارة الوصول ومراجعة الصلاحيات (UAR)، SOP-IT-006 المراقبة الأمنية وتشغيل مركز العمليات الأمنية (SOC)</w:t>
            </w:r>
          </w:p>
        </w:tc>
        <w:tc>
          <w:tcPr>
            <w:tcW w:w="1276" w:type="dxa"/>
            <w:tcBorders>
              <w:top w:val="single" w:sz="4" w:space="0" w:color="0F9ED5"/>
              <w:left w:val="single" w:sz="4" w:space="0" w:color="0F9ED5"/>
              <w:bottom w:val="single" w:sz="4" w:space="0" w:color="0F9ED5" w:themeColor="accent4"/>
              <w:right w:val="single" w:sz="4" w:space="0" w:color="FFFFFF" w:themeColor="background1"/>
            </w:tcBorders>
            <w:shd w:val="clear" w:color="auto" w:fill="0F9ED5" w:themeFill="accent4"/>
            <w:tcMar>
              <w:top w:w="100" w:type="dxa"/>
              <w:left w:w="100" w:type="dxa"/>
              <w:bottom w:w="100" w:type="dxa"/>
              <w:right w:w="100" w:type="dxa"/>
            </w:tcMar>
          </w:tcPr>
          <w:p w14:paraId="2411D5D0" w14:textId="74A1CF44" w:rsidR="00336B8C" w:rsidRPr="0008023E" w:rsidRDefault="00336B8C" w:rsidP="00336B8C">
            <w:pPr>
              <w:bidi/>
              <w:rPr>
                <w:rFonts w:eastAsia="Roboto"/>
                <w:b/>
                <w:bCs/>
                <w:color w:val="FFFFFF" w:themeColor="background1"/>
              </w:rPr>
            </w:pPr>
            <w:r w:rsidRPr="0008023E">
              <w:rPr>
                <w:rFonts w:eastAsia="Roboto"/>
                <w:b/>
                <w:bCs/>
                <w:color w:val="FFFFFF" w:themeColor="background1"/>
                <w:rtl/>
              </w:rPr>
              <w:t>اسم الإجراء</w:t>
            </w:r>
          </w:p>
        </w:tc>
      </w:tr>
    </w:tbl>
    <w:p w14:paraId="45629E46" w14:textId="77777777" w:rsidR="00B14648" w:rsidRDefault="00B14648">
      <w:pPr>
        <w:rPr>
          <w:color w:val="00AFF0"/>
          <w:sz w:val="28"/>
          <w:szCs w:val="28"/>
        </w:rPr>
      </w:pPr>
    </w:p>
    <w:tbl>
      <w:tblPr>
        <w:tblStyle w:val="GridTable4-Accent4"/>
        <w:tblW w:w="0" w:type="auto"/>
        <w:tblLook w:val="06A0" w:firstRow="1" w:lastRow="0" w:firstColumn="1" w:lastColumn="0" w:noHBand="1" w:noVBand="1"/>
      </w:tblPr>
      <w:tblGrid>
        <w:gridCol w:w="1920"/>
        <w:gridCol w:w="1149"/>
        <w:gridCol w:w="1215"/>
        <w:gridCol w:w="1118"/>
        <w:gridCol w:w="1210"/>
        <w:gridCol w:w="1602"/>
        <w:gridCol w:w="802"/>
      </w:tblGrid>
      <w:tr w:rsidR="00DE6F3A" w:rsidRPr="00995854" w14:paraId="5D4630D3" w14:textId="77777777" w:rsidTr="00DE6F3A">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9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DDD610" w14:textId="5E88961E" w:rsidR="00DE6F3A" w:rsidRPr="00995854" w:rsidRDefault="00DE6F3A" w:rsidP="00DE6F3A">
            <w:pPr>
              <w:bidi/>
              <w:jc w:val="both"/>
              <w:rPr>
                <w:rFonts w:ascii="Calibri" w:eastAsia="Calibri" w:hAnsi="Calibri" w:cs="Calibri"/>
                <w:rtl/>
                <w:lang w:val="en-US"/>
              </w:rPr>
            </w:pPr>
            <w:r w:rsidRPr="00670232">
              <w:rPr>
                <w:rFonts w:ascii="Calibri" w:eastAsia="Calibri" w:hAnsi="Calibri" w:cs="Calibri"/>
                <w:rtl/>
                <w:lang w:val="en-US"/>
              </w:rPr>
              <w:t>ملاحظات</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AF0C39" w14:textId="241AE2EC" w:rsidR="00DE6F3A" w:rsidRPr="00995854" w:rsidRDefault="00DE6F3A" w:rsidP="00DE6F3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المراجعة القادمة</w:t>
            </w:r>
          </w:p>
        </w:tc>
        <w:tc>
          <w:tcPr>
            <w:tcW w:w="12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05D2E" w14:textId="05B1E1CA" w:rsidR="00DE6F3A" w:rsidRPr="00995854" w:rsidRDefault="00DE6F3A" w:rsidP="00DE6F3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وتيرة المراجعة</w:t>
            </w:r>
          </w:p>
        </w:tc>
        <w:tc>
          <w:tcPr>
            <w:tcW w:w="11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A3ED44" w14:textId="77777777" w:rsidR="00DE6F3A" w:rsidRPr="00995854" w:rsidRDefault="00DE6F3A" w:rsidP="00DE6F3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تاريخ آخر تحديث</w:t>
            </w:r>
          </w:p>
          <w:p w14:paraId="0DD481D6" w14:textId="33D21981" w:rsidR="00DE6F3A" w:rsidRPr="00995854" w:rsidRDefault="00DE6F3A" w:rsidP="00DE6F3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lang w:val="en-US"/>
              </w:rPr>
              <w:t xml:space="preserve"> </w:t>
            </w:r>
          </w:p>
        </w:tc>
        <w:tc>
          <w:tcPr>
            <w:tcW w:w="12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7C935C" w14:textId="2F89AB07" w:rsidR="00DE6F3A" w:rsidRPr="00995854" w:rsidRDefault="00DE6F3A" w:rsidP="00DE6F3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المالك</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5294A1" w14:textId="19EC6F51" w:rsidR="00DE6F3A" w:rsidRPr="00995854" w:rsidRDefault="00DE6F3A" w:rsidP="00DE6F3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اعتمد بواسطة</w:t>
            </w:r>
          </w:p>
        </w:tc>
        <w:tc>
          <w:tcPr>
            <w:tcW w:w="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5EC7C2" w14:textId="0997F9B0" w:rsidR="00DE6F3A" w:rsidRPr="00995854" w:rsidRDefault="00DE6F3A" w:rsidP="00DE6F3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الإصدار</w:t>
            </w:r>
          </w:p>
        </w:tc>
      </w:tr>
      <w:tr w:rsidR="00DE6F3A" w:rsidRPr="00995854" w14:paraId="641B9286" w14:textId="77777777" w:rsidTr="00DE6F3A">
        <w:trPr>
          <w:trHeight w:val="949"/>
        </w:trPr>
        <w:tc>
          <w:tcPr>
            <w:cnfStyle w:val="001000000000" w:firstRow="0" w:lastRow="0" w:firstColumn="1" w:lastColumn="0" w:oddVBand="0" w:evenVBand="0" w:oddHBand="0" w:evenHBand="0" w:firstRowFirstColumn="0" w:firstRowLastColumn="0" w:lastRowFirstColumn="0" w:lastRowLastColumn="0"/>
            <w:tcW w:w="1922" w:type="dxa"/>
            <w:tcBorders>
              <w:top w:val="single" w:sz="4" w:space="0" w:color="FFFFFF" w:themeColor="background1"/>
            </w:tcBorders>
          </w:tcPr>
          <w:p w14:paraId="7EF93D9A" w14:textId="38F3F456" w:rsidR="00DE6F3A" w:rsidRDefault="00DE6F3A" w:rsidP="00DE6F3A">
            <w:pPr>
              <w:jc w:val="right"/>
            </w:pPr>
            <w:r>
              <w:rPr>
                <w:rtl/>
              </w:rPr>
              <w:t>تنفيذ الضابط A.5.37 (إجراءات التشغيل الموثقة) من ISO/IEC 27001:2022، ومعالجة 18 خطراً من سجل المخاطر الإصدار 1.0.</w:t>
            </w:r>
          </w:p>
        </w:tc>
        <w:tc>
          <w:tcPr>
            <w:tcW w:w="1149" w:type="dxa"/>
            <w:tcBorders>
              <w:top w:val="single" w:sz="4" w:space="0" w:color="FFFFFF" w:themeColor="background1"/>
            </w:tcBorders>
          </w:tcPr>
          <w:p w14:paraId="2CB83048" w14:textId="368032DB" w:rsidR="00DE6F3A" w:rsidRDefault="00DE6F3A" w:rsidP="00DE6F3A">
            <w:pPr>
              <w:jc w:val="right"/>
              <w:cnfStyle w:val="000000000000" w:firstRow="0" w:lastRow="0" w:firstColumn="0" w:lastColumn="0" w:oddVBand="0" w:evenVBand="0" w:oddHBand="0" w:evenHBand="0" w:firstRowFirstColumn="0" w:firstRowLastColumn="0" w:lastRowFirstColumn="0" w:lastRowLastColumn="0"/>
            </w:pPr>
            <w:r>
              <w:t>2026-12-01</w:t>
            </w:r>
          </w:p>
        </w:tc>
        <w:tc>
          <w:tcPr>
            <w:tcW w:w="1215" w:type="dxa"/>
            <w:tcBorders>
              <w:top w:val="single" w:sz="4" w:space="0" w:color="FFFFFF" w:themeColor="background1"/>
            </w:tcBorders>
          </w:tcPr>
          <w:p w14:paraId="2601F793" w14:textId="142FBAE2" w:rsidR="00DE6F3A" w:rsidRDefault="00DE6F3A" w:rsidP="00DE6F3A">
            <w:pPr>
              <w:jc w:val="right"/>
              <w:cnfStyle w:val="000000000000" w:firstRow="0" w:lastRow="0" w:firstColumn="0" w:lastColumn="0" w:oddVBand="0" w:evenVBand="0" w:oddHBand="0" w:evenHBand="0" w:firstRowFirstColumn="0" w:firstRowLastColumn="0" w:lastRowFirstColumn="0" w:lastRowLastColumn="0"/>
            </w:pPr>
            <w:r>
              <w:rPr>
                <w:rtl/>
              </w:rPr>
              <w:t>سنوية لكل إجراء، ونصف سنوية للإجراءين SOP-IT-003 وSOP-IT-006، وفورية بعد أي حادث ذي صلة</w:t>
            </w:r>
          </w:p>
        </w:tc>
        <w:tc>
          <w:tcPr>
            <w:tcW w:w="1118" w:type="dxa"/>
            <w:tcBorders>
              <w:top w:val="single" w:sz="4" w:space="0" w:color="FFFFFF" w:themeColor="background1"/>
            </w:tcBorders>
          </w:tcPr>
          <w:p w14:paraId="1C2341BC" w14:textId="1E292E80" w:rsidR="00DE6F3A" w:rsidRDefault="00DE6F3A" w:rsidP="00DE6F3A">
            <w:pPr>
              <w:jc w:val="right"/>
              <w:cnfStyle w:val="000000000000" w:firstRow="0" w:lastRow="0" w:firstColumn="0" w:lastColumn="0" w:oddVBand="0" w:evenVBand="0" w:oddHBand="0" w:evenHBand="0" w:firstRowFirstColumn="0" w:firstRowLastColumn="0" w:lastRowFirstColumn="0" w:lastRowLastColumn="0"/>
            </w:pPr>
            <w:r>
              <w:t>2026-06-01</w:t>
            </w:r>
          </w:p>
        </w:tc>
        <w:tc>
          <w:tcPr>
            <w:tcW w:w="1210" w:type="dxa"/>
            <w:tcBorders>
              <w:top w:val="single" w:sz="4" w:space="0" w:color="FFFFFF" w:themeColor="background1"/>
            </w:tcBorders>
          </w:tcPr>
          <w:p w14:paraId="7C2A5695" w14:textId="4F72F38C" w:rsidR="00DE6F3A" w:rsidRDefault="00DE6F3A" w:rsidP="00DE6F3A">
            <w:pPr>
              <w:jc w:val="right"/>
              <w:cnfStyle w:val="000000000000" w:firstRow="0" w:lastRow="0" w:firstColumn="0" w:lastColumn="0" w:oddVBand="0" w:evenVBand="0" w:oddHBand="0" w:evenHBand="0" w:firstRowFirstColumn="0" w:firstRowLastColumn="0" w:lastRowFirstColumn="0" w:lastRowLastColumn="0"/>
            </w:pPr>
            <w:r>
              <w:rPr>
                <w:rtl/>
              </w:rPr>
              <w:t>المهندس فهد العتيبي - مدير إدارة تقنية المعلومات (CIO)، والإشراف الأمني: الأستاذة سارة الحربي (CISO)</w:t>
            </w:r>
          </w:p>
        </w:tc>
        <w:tc>
          <w:tcPr>
            <w:tcW w:w="1603" w:type="dxa"/>
            <w:tcBorders>
              <w:top w:val="single" w:sz="4" w:space="0" w:color="FFFFFF" w:themeColor="background1"/>
            </w:tcBorders>
          </w:tcPr>
          <w:p w14:paraId="6B435647" w14:textId="1E772DE0" w:rsidR="00DE6F3A" w:rsidRDefault="00DE6F3A" w:rsidP="00DE6F3A">
            <w:pPr>
              <w:jc w:val="right"/>
              <w:cnfStyle w:val="000000000000" w:firstRow="0" w:lastRow="0" w:firstColumn="0" w:lastColumn="0" w:oddVBand="0" w:evenVBand="0" w:oddHBand="0" w:evenHBand="0" w:firstRowFirstColumn="0" w:firstRowLastColumn="0" w:lastRowFirstColumn="0" w:lastRowLastColumn="0"/>
            </w:pPr>
            <w:r>
              <w:rPr>
                <w:rtl/>
              </w:rPr>
              <w:t>المهندس فهد العتيبي - مدير إدارة تقنية المعلومات (2026-06-01)، واعتماد لجنة أمن المعلومات (2026-06-05)</w:t>
            </w:r>
          </w:p>
        </w:tc>
        <w:tc>
          <w:tcPr>
            <w:tcW w:w="720" w:type="dxa"/>
            <w:tcBorders>
              <w:top w:val="single" w:sz="4" w:space="0" w:color="FFFFFF" w:themeColor="background1"/>
            </w:tcBorders>
          </w:tcPr>
          <w:p w14:paraId="68CBE3C5" w14:textId="491CA719" w:rsidR="00DE6F3A" w:rsidRPr="00995854" w:rsidRDefault="00DE6F3A" w:rsidP="00DE6F3A">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1.0</w:t>
            </w:r>
          </w:p>
        </w:tc>
      </w:tr>
    </w:tbl>
    <w:p w14:paraId="10D11B97" w14:textId="77777777" w:rsidR="00B35955" w:rsidRDefault="00B35955">
      <w:pPr>
        <w:rPr>
          <w:color w:val="00AFF0"/>
          <w:sz w:val="28"/>
          <w:szCs w:val="28"/>
        </w:rPr>
      </w:pPr>
    </w:p>
    <w:p w14:paraId="411C1B77" w14:textId="77777777" w:rsidR="00B14648" w:rsidRDefault="0008023E">
      <w:pPr>
        <w:bidi/>
        <w:rPr>
          <w:sz w:val="28"/>
          <w:szCs w:val="28"/>
        </w:rPr>
      </w:pPr>
      <w:r w:rsidRPr="007674DD">
        <w:rPr>
          <w:b/>
          <w:bCs/>
          <w:sz w:val="28"/>
          <w:szCs w:val="28"/>
          <w:rtl/>
        </w:rPr>
        <w:t>التصنيف: للاستخدام الداخلي</w:t>
      </w:r>
    </w:p>
    <w:p w14:paraId="6E567321" w14:textId="5640EA73" w:rsidR="00B367C0" w:rsidRDefault="00B367C0" w:rsidP="00585C51">
      <w:pPr>
        <w:bidi/>
      </w:pPr>
      <w:r>
        <w:rPr>
          <w:rtl/>
        </w:rPr>
        <w:t>تُقيَّد هذه الوثيقة بمن تقتضي طبيعة عملهم الاطلاع عليها (إدارة تقنية المعلومات، إدارة أمن المعلومات، المراجعة الداخلية، ولجنة أمن المعلومات)، ولا تُشارك خارج بنك الآفاق الرقمية إلا بموافقة مالك الوثيقة.</w:t>
      </w:r>
    </w:p>
    <w:p w14:paraId="058B9D19" w14:textId="77777777" w:rsidR="00C5527E" w:rsidRPr="00C5527E" w:rsidRDefault="00C5527E" w:rsidP="000A73AA">
      <w:pPr>
        <w:pStyle w:val="Heading1"/>
        <w:bidi/>
        <w:rPr>
          <w:rFonts w:eastAsia="Times New Roman"/>
        </w:rPr>
      </w:pPr>
      <w:r w:rsidRPr="00C5527E">
        <w:rPr>
          <w:rFonts w:eastAsia="Times New Roman"/>
          <w:rtl/>
        </w:rPr>
        <w:t>1. الغرض</w:t>
      </w:r>
    </w:p>
    <w:p w14:paraId="58166EF8" w14:textId="77777777" w:rsidR="00C5527E" w:rsidRPr="00C5527E" w:rsidRDefault="00C5527E" w:rsidP="00C5527E">
      <w:pPr>
        <w:bidi/>
        <w:rPr>
          <w:rFonts w:eastAsia="Times New Roman"/>
        </w:rPr>
      </w:pPr>
      <w:r w:rsidRPr="00C5527E">
        <w:rPr>
          <w:rFonts w:eastAsia="Times New Roman"/>
          <w:rtl/>
        </w:rPr>
        <w:t>تحدد هذه الوثيقة إجراءات التشغيل الآمن المعتمدة في إدارة تقنية المعلومات ببنك الآفاق الرقمية، تنفيذاً للضابط A.5.37 (إجراءات التشغيل الموثقة) من الملحق A في ISO/IEC 27001:2022، وضماناً لتشغيل مرافق معالجة المعلومات بطريقة آمنة ومتسقة وقابلة للتدقيق. وتهدف إلى منع تكرار الحوادث السابقة (انقطاع الخدمة INC-2024-001، انتهاء شهادة SSL INC-2026-004، الصلاحيات غير المصرح بها INC-2026-009، فشل مهمة النسخ الاحتياطي INC-2026-007) وإلى الوفاء بمتطلبات مؤسسة النقد «ساما» والضوابط الأساسية للأمن السيبراني الصادرة عن الهيئة الوطنية للأمن السيبراني.</w:t>
      </w:r>
      <w:r w:rsidRPr="00C5527E">
        <w:rPr>
          <w:rFonts w:eastAsia="Times New Roman"/>
          <w:rtl/>
        </w:rPr>
        <w:br/>
        <w:t>وتشمل الوثيقة ستة إجراءات تشغيلية:</w:t>
      </w:r>
      <w:r w:rsidRPr="00C5527E">
        <w:rPr>
          <w:rFonts w:eastAsia="Times New Roman"/>
          <w:rtl/>
        </w:rPr>
        <w:br/>
        <w:t>SOP-IT-001 - النسخ الاحتياطي والاستعادة: ضمان نسخ جميع البيانات والأنظمة الحرجة بانتظام وقابليتها للاستعادة ضمن أهداف RTO/RPO المعتمدة، والوقاية من فقدان البيانات عند حوادث الفدية أو الأعطال أو الكوارث.</w:t>
      </w:r>
      <w:r w:rsidRPr="00C5527E">
        <w:rPr>
          <w:rFonts w:eastAsia="Times New Roman"/>
          <w:rtl/>
        </w:rPr>
        <w:br/>
        <w:t>SOP-IT-002 - إدارة التغيير على الأنظمة والشبكات: ضمان تنفيذ جميع التغييرات على الأنظمة والشبكات والتطبيقات بطريقة مضبوطة تقلل خطر الانقطاع أو الخلل الأمني، ومنع تكرار حادثة INC-2024-001.</w:t>
      </w:r>
      <w:r w:rsidRPr="00C5527E">
        <w:rPr>
          <w:rFonts w:eastAsia="Times New Roman"/>
          <w:rtl/>
        </w:rPr>
        <w:br/>
        <w:t>SOP-IT-003 - إدارة الثغرات والترقيع: اكتشاف الثغرات التقنية ومعالجتها ضمن مدد زمنية محددة تقلل خطر الاستغلال، والالتزام بمتطلبات ساما المتعلقة بالفحص الدوري.</w:t>
      </w:r>
      <w:r w:rsidRPr="00C5527E">
        <w:rPr>
          <w:rFonts w:eastAsia="Times New Roman"/>
          <w:rtl/>
        </w:rPr>
        <w:br/>
      </w:r>
      <w:r w:rsidRPr="00C5527E">
        <w:rPr>
          <w:rFonts w:eastAsia="Times New Roman"/>
          <w:rtl/>
        </w:rPr>
        <w:lastRenderedPageBreak/>
        <w:t>SOP-IT-004 - إدارة الشهادات الرقمية ومفاتيح التشفير: ضمان سريان الشهادات الرقمية وسلامة إدارة مفاتيح التشفير لمنع انقطاع الخدمات أو ضعف الحماية، ومنع تكرار حادثة INC-2026-004.</w:t>
      </w:r>
      <w:r w:rsidRPr="00C5527E">
        <w:rPr>
          <w:rFonts w:eastAsia="Times New Roman"/>
          <w:rtl/>
        </w:rPr>
        <w:br/>
        <w:t>SOP-IT-005 - إدارة الوصول ومراجعة الصلاحيات (UAR): ضمان منح الصلاحيات على أساس الحاجة فقط ومراجعتها وسحبها دورياً، ومنع تراكم الصلاحيات الموروثة كما في حادثة INC-2026-009.</w:t>
      </w:r>
      <w:r w:rsidRPr="00C5527E">
        <w:rPr>
          <w:rFonts w:eastAsia="Times New Roman"/>
          <w:rtl/>
        </w:rPr>
        <w:br/>
        <w:t>SOP-IT-006 - المراقبة الأمنية وتشغيل مركز العمليات الأمنية (SOC): مراقبة بيئة البنك الأمنية على مدار الساعة لاكتشاف الأحداث الأمنية وتصنيفها وتصعيدها في الوقت المناسب رغم غياب SIEM الحالي.</w:t>
      </w:r>
    </w:p>
    <w:p w14:paraId="6FAC0458" w14:textId="77777777" w:rsidR="00C5527E" w:rsidRPr="00C5527E" w:rsidRDefault="00C5527E" w:rsidP="000A73AA">
      <w:pPr>
        <w:pStyle w:val="Heading1"/>
        <w:bidi/>
        <w:rPr>
          <w:rFonts w:eastAsia="Times New Roman"/>
        </w:rPr>
      </w:pPr>
      <w:r w:rsidRPr="00C5527E">
        <w:rPr>
          <w:rFonts w:eastAsia="Times New Roman"/>
          <w:rtl/>
        </w:rPr>
        <w:t>2. النطاق</w:t>
      </w:r>
    </w:p>
    <w:p w14:paraId="352FA585" w14:textId="77777777" w:rsidR="00C5527E" w:rsidRPr="00C5527E" w:rsidRDefault="00C5527E" w:rsidP="00C5527E">
      <w:pPr>
        <w:bidi/>
        <w:rPr>
          <w:rFonts w:eastAsia="Times New Roman"/>
        </w:rPr>
      </w:pPr>
      <w:r w:rsidRPr="00C5527E">
        <w:rPr>
          <w:rFonts w:eastAsia="Times New Roman"/>
          <w:rtl/>
        </w:rPr>
        <w:t>تنطبق هذه الإجراءات على جميع الأنظمة والأصول التقنية ضمن نطاق نظام إدارة أمن المعلومات المعتمد في وثيقة ISMS-DOC-04-1، وتشمل: مركز البيانات الرئيسي في الرياض (المستوى الثالث Tier-3) ومركز التعافي في جدة، والأنظمة المصرفية الأساسية (Core Banking) والقنوات الرقمية (تطبيق آفاق بلس ومنصة آفاق نت)، وقواعد البيانات (Oracle وSQL Server)، وأجهزة الشبكة (Cisco)، وجدران الحماية (Palo Alto وFortiWeb)، و2,000 جهاز طرفي للموظفين، وبيئة Microsoft 365، والفروع الخمسة والعشرين و150 جهاز صراف آلي.</w:t>
      </w:r>
      <w:r w:rsidRPr="00C5527E">
        <w:rPr>
          <w:rFonts w:eastAsia="Times New Roman"/>
          <w:rtl/>
        </w:rPr>
        <w:br/>
        <w:t>النطاق التفصيلي لكل إجراء:</w:t>
      </w:r>
      <w:r w:rsidRPr="00C5527E">
        <w:rPr>
          <w:rFonts w:eastAsia="Times New Roman"/>
          <w:rtl/>
        </w:rPr>
        <w:br/>
        <w:t>SOP-IT-001: جميع قواعد البيانات والأنظمة والملفات والخزائن الرقمية داخل نطاق ISMS في مركز البيانات الرئيسي بالرياض ومركز التعافي بجدة.</w:t>
      </w:r>
      <w:r w:rsidRPr="00C5527E">
        <w:rPr>
          <w:rFonts w:eastAsia="Times New Roman"/>
          <w:rtl/>
        </w:rPr>
        <w:br/>
        <w:t>SOP-IT-002: جميع التغييرات على بيئة الإنتاج: أجهزة الشبكة، جدران الحماية، الخوادم، قواعد البيانات، التطبيقات المصرفية، وأنظمة الأمن.</w:t>
      </w:r>
      <w:r w:rsidRPr="00C5527E">
        <w:rPr>
          <w:rFonts w:eastAsia="Times New Roman"/>
          <w:rtl/>
        </w:rPr>
        <w:br/>
        <w:t>SOP-IT-003: جميع الأنظمة المكشوفة داخلياً وخارجياً: التطبيقات المصرفية، الخوادم، أجهزة الشبكة، قواعد البيانات، والأجهزة الطرفية.</w:t>
      </w:r>
      <w:r w:rsidRPr="00C5527E">
        <w:rPr>
          <w:rFonts w:eastAsia="Times New Roman"/>
          <w:rtl/>
        </w:rPr>
        <w:br/>
        <w:t>SOP-IT-004: جميع الشهادات الرقمية (SSL/TLS، شهادات المصادقة المتبادلة، شهادات التوقيع) ومفاتيح التشفير المستخدمة في بيئة البنك.</w:t>
      </w:r>
      <w:r w:rsidRPr="00C5527E">
        <w:rPr>
          <w:rFonts w:eastAsia="Times New Roman"/>
          <w:rtl/>
        </w:rPr>
        <w:br/>
        <w:t>SOP-IT-005: جميع حسابات الموظفين والمتعاقدين والموردين على أنظمة البنك ومجلدات الشبكة وقواعد البيانات والتطبيقات.</w:t>
      </w:r>
      <w:r w:rsidRPr="00C5527E">
        <w:rPr>
          <w:rFonts w:eastAsia="Times New Roman"/>
          <w:rtl/>
        </w:rPr>
        <w:br/>
        <w:t>SOP-IT-006: السجلات والتنبيهات الصادرة من جدران الحماية، وأنظمة IDS/IPS، ومكافحة البرمجيات الخبيثة، وبوابة البريد، ونظام كشف الاحتيال، وخادم Syslog، والأنظمة الحرجة.</w:t>
      </w:r>
    </w:p>
    <w:p w14:paraId="7FEDBB66" w14:textId="77777777" w:rsidR="00C5527E" w:rsidRPr="00C5527E" w:rsidRDefault="00C5527E" w:rsidP="000A73AA">
      <w:pPr>
        <w:pStyle w:val="Heading1"/>
        <w:bidi/>
        <w:rPr>
          <w:rFonts w:eastAsia="Times New Roman"/>
        </w:rPr>
      </w:pPr>
      <w:r w:rsidRPr="00C5527E">
        <w:rPr>
          <w:rFonts w:eastAsia="Times New Roman"/>
          <w:rtl/>
        </w:rPr>
        <w:t>3. الأدوار والمسؤوليات</w:t>
      </w:r>
    </w:p>
    <w:p w14:paraId="5E3B4152" w14:textId="77777777" w:rsidR="00C5527E" w:rsidRDefault="00C5527E" w:rsidP="00C5527E">
      <w:pPr>
        <w:bidi/>
        <w:rPr>
          <w:rFonts w:eastAsia="Times New Roman"/>
        </w:rPr>
      </w:pPr>
      <w:r w:rsidRPr="00C5527E">
        <w:rPr>
          <w:rFonts w:eastAsia="Times New Roman"/>
          <w:rtl/>
        </w:rPr>
        <w:t>تُوزَّع الأدوار والمسؤوليات لكل إجراء على النحو الآتي، وفق مصفوفة RACI المعتمدة في سياسة أمن المعلومات (ISMS-DOC-05-4 البند 4):</w:t>
      </w:r>
      <w:r w:rsidRPr="00C5527E">
        <w:rPr>
          <w:rFonts w:eastAsia="Times New Roman"/>
          <w:rtl/>
        </w:rPr>
        <w:br/>
        <w:t>SOP-IT-001 - النسخ الاحتياطي والاستعادة: مدير قسم البنية التحتية والشبكات (مالك الإجراء)، فريق العمليات (منفذ)، مدير إدارة أمن المعلومات (مراقب)، فريق SOC (متابعة التنبيهات).</w:t>
      </w:r>
      <w:r w:rsidRPr="00C5527E">
        <w:rPr>
          <w:rFonts w:eastAsia="Times New Roman"/>
          <w:rtl/>
        </w:rPr>
        <w:br/>
        <w:t>SOP-IT-002 - إدارة التغيير على الأنظمة والشبكات: مدير إدارة تقنية المعلومات (مالك الإجراء)، لجنة التغيير الاستشارية CAB (اعتماد)، منفذ التغيير (تنفيذ)، مدير إدارة أمن المعلومات (مراجعة أمنية للتغييرات الحرجة).</w:t>
      </w:r>
      <w:r w:rsidRPr="00C5527E">
        <w:rPr>
          <w:rFonts w:eastAsia="Times New Roman"/>
          <w:rtl/>
        </w:rPr>
        <w:br/>
        <w:t>SOP-IT-003 - إدارة الثغرات والترقيع: فريق تقييم المخاطر والثغرات (مالك الإجراء والمنفذ)، فرق التطوير والبنية التحتية (معالجة)، مدير إدارة أمن المعلومات (إشراف وتصعيد).</w:t>
      </w:r>
      <w:r w:rsidRPr="00C5527E">
        <w:rPr>
          <w:rFonts w:eastAsia="Times New Roman"/>
          <w:rtl/>
        </w:rPr>
        <w:br/>
        <w:t>SOP-IT-004 - إدارة الشهادات الرقمية ومفاتيح التشفير: مدير قسم البنية التحتية والشبكات (مالك الإجراء)، فريق العمليات (منفذ)، مدير إدارة أمن المعلومات (مراجعة)، الإدارة المالية (اعتماد تكاليف التجديد).</w:t>
      </w:r>
      <w:r w:rsidRPr="00C5527E">
        <w:rPr>
          <w:rFonts w:eastAsia="Times New Roman"/>
          <w:rtl/>
        </w:rPr>
        <w:br/>
        <w:t>SOP-IT-005 - إدارة الوصول ومراجعة الصلاحيات (UAR): مدير قسم البنية التحتية والشبكات (مالك الإجراء والمنفذ التقني)، ملاك الأصول (موافقة ومراجعة)، الموارد البشرية (إشعارات التعيين والنقل والإنهاء)، مدير إدارة أمن المعلومات (إشراف).</w:t>
      </w:r>
      <w:r w:rsidRPr="00C5527E">
        <w:rPr>
          <w:rFonts w:eastAsia="Times New Roman"/>
          <w:rtl/>
        </w:rPr>
        <w:br/>
        <w:t>SOP-IT-006 - المراقبة الأمنية وتشغيل مركز العمليات الأمنية (SOC): فريق العمليات الأمنية SOC (مالك الإجراء والمنفذ)، فريق الاستجابة للحوادث (التصعيد)، مدير إدارة أمن المعلومات (إشراف)، إدارة تقنية المعلومات (توفير المصادر).</w:t>
      </w:r>
      <w:r w:rsidRPr="00C5527E">
        <w:rPr>
          <w:rFonts w:eastAsia="Times New Roman"/>
          <w:rtl/>
        </w:rPr>
        <w:br/>
        <w:t>مسؤوليات مشتركة: يلتزم كل مالك إجراء بتحديث سجلات الإجراء شهرياً، ورفع تقرير الالتزام إلى لجنة أمن المعلومات، وإبلاغ مدير إدارة أمن المعلومات فوراً بأي خلل جوهري في التنفيذ أو بأي حادث ناتج عن الإجراء.</w:t>
      </w:r>
    </w:p>
    <w:p w14:paraId="3A8FB569" w14:textId="77777777" w:rsidR="0035236A" w:rsidRPr="00C5527E" w:rsidRDefault="0035236A" w:rsidP="0035236A">
      <w:pPr>
        <w:bidi/>
        <w:rPr>
          <w:rFonts w:eastAsia="Times New Roman"/>
        </w:rPr>
      </w:pPr>
    </w:p>
    <w:p w14:paraId="2245DE01" w14:textId="77777777" w:rsidR="00C5527E" w:rsidRDefault="00C5527E" w:rsidP="000A73AA">
      <w:pPr>
        <w:pStyle w:val="Heading1"/>
        <w:bidi/>
        <w:rPr>
          <w:rFonts w:eastAsia="Times New Roman"/>
        </w:rPr>
      </w:pPr>
      <w:r w:rsidRPr="00C5527E">
        <w:rPr>
          <w:rFonts w:eastAsia="Times New Roman"/>
          <w:rtl/>
        </w:rPr>
        <w:lastRenderedPageBreak/>
        <w:t>4. الإجراء (خطوات التنفيذ)</w:t>
      </w:r>
    </w:p>
    <w:p w14:paraId="6D627F76" w14:textId="77777777" w:rsidR="000A73AA" w:rsidRPr="000A73AA" w:rsidRDefault="000A73AA" w:rsidP="000A73AA"/>
    <w:p w14:paraId="76C0CD6C" w14:textId="77777777" w:rsidR="00C5527E" w:rsidRPr="00C5527E" w:rsidRDefault="00C5527E" w:rsidP="00C5527E">
      <w:pPr>
        <w:bidi/>
        <w:rPr>
          <w:rFonts w:eastAsia="Times New Roman"/>
        </w:rPr>
      </w:pPr>
      <w:r w:rsidRPr="00C5527E">
        <w:rPr>
          <w:rFonts w:eastAsia="Times New Roman"/>
          <w:rtl/>
        </w:rPr>
        <w:t>تنفَّذ الإجراءات الستة وفق الخطوات الإلزامية الآتية، وتُوثَّق نتائج كل خطوة في السجلات المعتمدة:</w:t>
      </w:r>
    </w:p>
    <w:p w14:paraId="5D95964D" w14:textId="77777777" w:rsidR="00C5527E" w:rsidRPr="00C5527E" w:rsidRDefault="00C5527E" w:rsidP="00C5527E">
      <w:pPr>
        <w:pStyle w:val="Heading2"/>
        <w:bidi/>
        <w:rPr>
          <w:rFonts w:eastAsia="Times New Roman"/>
        </w:rPr>
      </w:pPr>
      <w:r>
        <w:rPr>
          <w:rtl/>
        </w:rPr>
        <w:t>SOP-IT-001: النسخ الاحتياطي والاستعادة</w:t>
      </w:r>
    </w:p>
    <w:p w14:paraId="4EB401BB" w14:textId="77777777" w:rsidR="00C5527E" w:rsidRPr="00C5527E" w:rsidRDefault="00C5527E" w:rsidP="00C5527E">
      <w:pPr>
        <w:bidi/>
        <w:rPr>
          <w:rFonts w:eastAsia="Times New Roman"/>
        </w:rPr>
      </w:pPr>
      <w:r>
        <w:rPr>
          <w:rtl/>
        </w:rPr>
        <w:t>الخطوة 1: التحقق يومياً من نجاح مهام النسخ عبر تقرير Veritas NetBackup قبل الساعة 08:00 صباحاً ومعالجة أي فشل خلال 4 ساعات.</w:t>
      </w:r>
    </w:p>
    <w:p w14:paraId="6AB34324" w14:textId="77777777" w:rsidR="00C5527E" w:rsidRPr="00C5527E" w:rsidRDefault="00C5527E" w:rsidP="00C5527E">
      <w:pPr>
        <w:bidi/>
        <w:rPr>
          <w:rFonts w:eastAsia="Times New Roman"/>
        </w:rPr>
      </w:pPr>
      <w:r>
        <w:rPr>
          <w:rtl/>
        </w:rPr>
        <w:t>الخطوة 2: تنفيذ نسخ كامل (Full) لقواعد البيانات الحرجة أسبوعياً كل يوم خميس 22:00، ونسخ تزايدي يومي، ونسخ لسجلات المعاملات كل 15 دقيقة.</w:t>
      </w:r>
    </w:p>
    <w:p w14:paraId="7A239E9B" w14:textId="77777777" w:rsidR="00C5527E" w:rsidRPr="00C5527E" w:rsidRDefault="00C5527E" w:rsidP="00C5527E">
      <w:pPr>
        <w:bidi/>
        <w:rPr>
          <w:rFonts w:eastAsia="Times New Roman"/>
        </w:rPr>
      </w:pPr>
      <w:r>
        <w:rPr>
          <w:rtl/>
        </w:rPr>
        <w:t>الخطوة 3: تشفير جميع النسخ قبل الكتابة على الوسائط، ونقل الأشرطة أسبوعياً إلى الموقع الخارجي في جدة بصناديق مؤمنة مع سجل حركة.</w:t>
      </w:r>
    </w:p>
    <w:p w14:paraId="43889B0B" w14:textId="77777777" w:rsidR="00C5527E" w:rsidRPr="00C5527E" w:rsidRDefault="00C5527E" w:rsidP="00C5527E">
      <w:pPr>
        <w:bidi/>
        <w:rPr>
          <w:rFonts w:eastAsia="Times New Roman"/>
        </w:rPr>
      </w:pPr>
      <w:r>
        <w:rPr>
          <w:rtl/>
        </w:rPr>
        <w:t>الخطوة 4: التحقق شهرياً من قابلية قراءة عينة من الأشرطة (5 أشرطة عشوائية) وتوثيق النتيجة.</w:t>
      </w:r>
    </w:p>
    <w:p w14:paraId="6AB0BCDA" w14:textId="77777777" w:rsidR="00C5527E" w:rsidRPr="00C5527E" w:rsidRDefault="00C5527E" w:rsidP="00C5527E">
      <w:pPr>
        <w:bidi/>
        <w:rPr>
          <w:rFonts w:eastAsia="Times New Roman"/>
        </w:rPr>
      </w:pPr>
      <w:r>
        <w:rPr>
          <w:rtl/>
        </w:rPr>
        <w:t>الخطوة 5: تنفيذ اختبار استعادة كامل لقاعدة بيانات حرجة كل ربع سنة في بيئة معزولة وقياس الزمن الفعلي مقابل RTO/RPO ورفع تقرير لمراجعة الإدارة.</w:t>
      </w:r>
    </w:p>
    <w:p w14:paraId="1949D874" w14:textId="77777777" w:rsidR="00C5527E" w:rsidRPr="00C5527E" w:rsidRDefault="00C5527E" w:rsidP="00C5527E">
      <w:pPr>
        <w:bidi/>
        <w:rPr>
          <w:rFonts w:eastAsia="Times New Roman"/>
        </w:rPr>
      </w:pPr>
      <w:r>
        <w:rPr>
          <w:rtl/>
        </w:rPr>
        <w:t>الخطوة 6: مراجعة جدول النسخ عند أي إضافة نظام جديد أو تغيير في تصنيف الأصل خلال 5 أيام عمل.</w:t>
      </w:r>
    </w:p>
    <w:p w14:paraId="4101AB23" w14:textId="77777777" w:rsidR="00C5527E" w:rsidRPr="00C5527E" w:rsidRDefault="00C5527E" w:rsidP="00C5527E">
      <w:pPr>
        <w:bidi/>
        <w:rPr>
          <w:rFonts w:eastAsia="Times New Roman"/>
        </w:rPr>
      </w:pPr>
      <w:r>
        <w:rPr>
          <w:rtl/>
        </w:rPr>
        <w:t>الخطوة 7: حظر تخزين النسخ الاحتياطية على نفس نطاق Active Directory وتفعيل خاصية عدم القابلية للتعديل (Immutable).</w:t>
      </w:r>
    </w:p>
    <w:p w14:paraId="780F451D" w14:textId="77777777" w:rsidR="00C5527E" w:rsidRPr="00C5527E" w:rsidRDefault="00C5527E" w:rsidP="00C5527E">
      <w:pPr>
        <w:bidi/>
        <w:rPr>
          <w:rFonts w:eastAsia="Times New Roman"/>
        </w:rPr>
      </w:pPr>
      <w:r>
        <w:rPr>
          <w:rtl/>
        </w:rPr>
        <w:t>الاستثناءات والاعتمادات: لا يجوز تعديل جدول النسخ أو إيقاف مهمة نسخ دون اعتماد كتابي من مدير إدارة تقنية المعلومات وإشعار مدير إدارة أمن المعلومات.</w:t>
      </w:r>
    </w:p>
    <w:p w14:paraId="7CDB5CD9" w14:textId="77777777" w:rsidR="00C5527E" w:rsidRPr="00C5527E" w:rsidRDefault="00C5527E" w:rsidP="00C5527E">
      <w:pPr>
        <w:pStyle w:val="Heading2"/>
        <w:bidi/>
        <w:rPr>
          <w:rFonts w:eastAsia="Times New Roman"/>
        </w:rPr>
      </w:pPr>
      <w:r>
        <w:rPr>
          <w:rtl/>
        </w:rPr>
        <w:t>SOP-IT-002: إدارة التغيير على الأنظمة والشبكات</w:t>
      </w:r>
    </w:p>
    <w:p w14:paraId="0685DFA8" w14:textId="77777777" w:rsidR="00C5527E" w:rsidRPr="00C5527E" w:rsidRDefault="00C5527E" w:rsidP="00C5527E">
      <w:pPr>
        <w:bidi/>
        <w:rPr>
          <w:rFonts w:eastAsia="Times New Roman"/>
        </w:rPr>
      </w:pPr>
      <w:r>
        <w:rPr>
          <w:rtl/>
        </w:rPr>
        <w:t>الخطوة 1: تسجيل طلب التغيير في Jira مع وصف الأثر والأنظمة المتأثرة وفترة التنفيذ وخطة التراجع (Rollback) قبل 3 أيام عمل على الأقل من التنفيذ.</w:t>
      </w:r>
    </w:p>
    <w:p w14:paraId="58E1D605" w14:textId="77777777" w:rsidR="00C5527E" w:rsidRPr="00C5527E" w:rsidRDefault="00C5527E" w:rsidP="00C5527E">
      <w:pPr>
        <w:bidi/>
        <w:rPr>
          <w:rFonts w:eastAsia="Times New Roman"/>
        </w:rPr>
      </w:pPr>
      <w:r>
        <w:rPr>
          <w:rtl/>
        </w:rPr>
        <w:t>الخطوة 2: تصنيف التغيير: عادي، حرج، طارئ؛ وأي تغيير على جدار الحماية أو أنظمة المصادقة أو قواعد البيانات الحرجة يُصنف حرجاً.</w:t>
      </w:r>
    </w:p>
    <w:p w14:paraId="6ADC5B2D" w14:textId="77777777" w:rsidR="00C5527E" w:rsidRPr="00C5527E" w:rsidRDefault="00C5527E" w:rsidP="00C5527E">
      <w:pPr>
        <w:bidi/>
        <w:rPr>
          <w:rFonts w:eastAsia="Times New Roman"/>
        </w:rPr>
      </w:pPr>
      <w:r>
        <w:rPr>
          <w:rtl/>
        </w:rPr>
        <w:t>الخطوة 3: اعتماد التغييرات الحرجة من لجنة CAB مع مراجعة ثنائية إلزامية (Four-Eyes) من مهندس ثانٍ مستقل قبل التنفيذ.</w:t>
      </w:r>
    </w:p>
    <w:p w14:paraId="22A2B3A0" w14:textId="77777777" w:rsidR="00C5527E" w:rsidRPr="00C5527E" w:rsidRDefault="00C5527E" w:rsidP="00C5527E">
      <w:pPr>
        <w:bidi/>
        <w:rPr>
          <w:rFonts w:eastAsia="Times New Roman"/>
        </w:rPr>
      </w:pPr>
      <w:r>
        <w:rPr>
          <w:rtl/>
        </w:rPr>
        <w:t>الخطوة 4: تنفيذ التغييرات الحرجة خارج أوقات الذروة (من 23:00 إلى 05:00) ووفق نافذة تغيير معتمدة مع إشعار مسبق للعملاء عند الحاجة.</w:t>
      </w:r>
    </w:p>
    <w:p w14:paraId="56D1D8B7" w14:textId="77777777" w:rsidR="00C5527E" w:rsidRPr="00C5527E" w:rsidRDefault="00C5527E" w:rsidP="00C5527E">
      <w:pPr>
        <w:bidi/>
        <w:rPr>
          <w:rFonts w:eastAsia="Times New Roman"/>
        </w:rPr>
      </w:pPr>
      <w:r>
        <w:rPr>
          <w:rtl/>
        </w:rPr>
        <w:t>الخطوة 5: أخذ نسخة من التكوين الحالي قبل التنفيذ والتحقق من نجاح الخطة البديلة خلال 15 دقيقة من التنفيذ.</w:t>
      </w:r>
    </w:p>
    <w:p w14:paraId="4B73CB48" w14:textId="77777777" w:rsidR="00C5527E" w:rsidRPr="00C5527E" w:rsidRDefault="00C5527E" w:rsidP="00C5527E">
      <w:pPr>
        <w:bidi/>
        <w:rPr>
          <w:rFonts w:eastAsia="Times New Roman"/>
        </w:rPr>
      </w:pPr>
      <w:r>
        <w:rPr>
          <w:rtl/>
        </w:rPr>
        <w:t>الخطوة 6: اختبار التغيير بعد التنفيذ والتحقق من توافر الخدمات الحرجة عبر لوحة المراقبة قبل إغلاق التذكرة.</w:t>
      </w:r>
    </w:p>
    <w:p w14:paraId="344A6B17" w14:textId="77777777" w:rsidR="00C5527E" w:rsidRPr="00C5527E" w:rsidRDefault="00C5527E" w:rsidP="00C5527E">
      <w:pPr>
        <w:bidi/>
        <w:rPr>
          <w:rFonts w:eastAsia="Times New Roman"/>
        </w:rPr>
      </w:pPr>
      <w:r>
        <w:rPr>
          <w:rtl/>
        </w:rPr>
        <w:t>الخطوة 7: التراجع الفوري عن التغيير عند ظهور أي أثر غير متوقع وتوثيق السبب خلال 24 ساعة.</w:t>
      </w:r>
    </w:p>
    <w:p w14:paraId="25FB1458" w14:textId="77777777" w:rsidR="00C5527E" w:rsidRPr="00C5527E" w:rsidRDefault="00C5527E" w:rsidP="00C5527E">
      <w:pPr>
        <w:bidi/>
        <w:rPr>
          <w:rFonts w:eastAsia="Times New Roman"/>
        </w:rPr>
      </w:pPr>
      <w:r>
        <w:rPr>
          <w:rtl/>
        </w:rPr>
        <w:t>الخطوة 8: مراجعة شهرية لسجل التغييرات من مدير إدارة أمن المعلومات لقياس نسبة الالتزام (المستهدف 100%).</w:t>
      </w:r>
    </w:p>
    <w:p w14:paraId="2C483648" w14:textId="77777777" w:rsidR="00C5527E" w:rsidRDefault="00C5527E" w:rsidP="00C5527E">
      <w:pPr>
        <w:bidi/>
      </w:pPr>
      <w:r>
        <w:rPr>
          <w:rtl/>
        </w:rPr>
        <w:t>الاستثناءات والاعتمادات: التغييرات الطارئة تُنفذ بموافقة شفهية من مدير إدارة تقنية المعلومات وتُوثق خلال 24 ساعة بأثر رجعي مع اعتماد لاحق من CAB.</w:t>
      </w:r>
    </w:p>
    <w:p w14:paraId="02AFB4C2" w14:textId="77777777" w:rsidR="001D4EA4" w:rsidRDefault="001D4EA4" w:rsidP="001D4EA4">
      <w:pPr>
        <w:bidi/>
      </w:pPr>
    </w:p>
    <w:p w14:paraId="4AAB3BE1" w14:textId="77777777" w:rsidR="001D4EA4" w:rsidRPr="00C5527E" w:rsidRDefault="001D4EA4" w:rsidP="001D4EA4">
      <w:pPr>
        <w:bidi/>
        <w:rPr>
          <w:rFonts w:eastAsia="Times New Roman"/>
        </w:rPr>
      </w:pPr>
    </w:p>
    <w:p w14:paraId="6957387A" w14:textId="77777777" w:rsidR="00C5527E" w:rsidRPr="00C5527E" w:rsidRDefault="00C5527E" w:rsidP="00C5527E">
      <w:pPr>
        <w:pStyle w:val="Heading2"/>
        <w:bidi/>
        <w:rPr>
          <w:rFonts w:eastAsia="Times New Roman"/>
        </w:rPr>
      </w:pPr>
      <w:r>
        <w:rPr>
          <w:rtl/>
        </w:rPr>
        <w:lastRenderedPageBreak/>
        <w:t>SOP-IT-003: إدارة الثغرات والترقيع</w:t>
      </w:r>
    </w:p>
    <w:p w14:paraId="521E95BB" w14:textId="77777777" w:rsidR="00C5527E" w:rsidRPr="00C5527E" w:rsidRDefault="00C5527E" w:rsidP="00C5527E">
      <w:pPr>
        <w:bidi/>
        <w:rPr>
          <w:rFonts w:eastAsia="Times New Roman"/>
        </w:rPr>
      </w:pPr>
      <w:r>
        <w:rPr>
          <w:rtl/>
        </w:rPr>
        <w:t>الخطوة 1: تنفيذ فحص آلي شهري عبر منصة Qualys على الأنظمة الداخلية وفحص ربع سنوي على الأنظمة الخارجية بواسطة استشاري مستقل.</w:t>
      </w:r>
    </w:p>
    <w:p w14:paraId="7A6318F9" w14:textId="77777777" w:rsidR="00C5527E" w:rsidRPr="00C5527E" w:rsidRDefault="00C5527E" w:rsidP="00C5527E">
      <w:pPr>
        <w:bidi/>
        <w:rPr>
          <w:rFonts w:eastAsia="Times New Roman"/>
        </w:rPr>
      </w:pPr>
      <w:r>
        <w:rPr>
          <w:rtl/>
        </w:rPr>
        <w:t>الخطوة 2: تصنيف الثغرات وفق CVSS v3.1 إلى: حرجة (9.0-10.0)، عالية (7.0-8.9)، متوسطة (4.0-6.9)، منخفضة (0.1-3.9).</w:t>
      </w:r>
    </w:p>
    <w:p w14:paraId="46C1F3D4" w14:textId="77777777" w:rsidR="00C5527E" w:rsidRPr="00C5527E" w:rsidRDefault="00C5527E" w:rsidP="00C5527E">
      <w:pPr>
        <w:bidi/>
        <w:rPr>
          <w:rFonts w:eastAsia="Times New Roman"/>
        </w:rPr>
      </w:pPr>
      <w:r>
        <w:rPr>
          <w:rtl/>
        </w:rPr>
        <w:t>الخطوة 3: الالتزام بمستويات الخدمة الزمنية للمعالجة: حرجة 7 أيام، عالية 15 يوماً، متوسطة 30 يوماً، منخفضة 90 يوماً.</w:t>
      </w:r>
    </w:p>
    <w:p w14:paraId="19B3F119" w14:textId="77777777" w:rsidR="00C5527E" w:rsidRPr="00C5527E" w:rsidRDefault="00C5527E" w:rsidP="00C5527E">
      <w:pPr>
        <w:bidi/>
        <w:rPr>
          <w:rFonts w:eastAsia="Times New Roman"/>
        </w:rPr>
      </w:pPr>
      <w:r>
        <w:rPr>
          <w:rtl/>
        </w:rPr>
        <w:t>الخطوة 4: فتح تذكرة Jira لكل ثغرة عالية أو حرجة خلال يوم عمل واحد من الرصد مع تحديد مالك الإجراء والموعد المستهدف.</w:t>
      </w:r>
    </w:p>
    <w:p w14:paraId="273500D5" w14:textId="77777777" w:rsidR="00C5527E" w:rsidRPr="00C5527E" w:rsidRDefault="00C5527E" w:rsidP="00C5527E">
      <w:pPr>
        <w:bidi/>
        <w:rPr>
          <w:rFonts w:eastAsia="Times New Roman"/>
        </w:rPr>
      </w:pPr>
      <w:r>
        <w:rPr>
          <w:rtl/>
        </w:rPr>
        <w:t>الخطوة 5: اختبار الترقيع في بيئة الاختبار قبل الإنتاج وفق SOP-IT-002 مع خطة تراجع.</w:t>
      </w:r>
    </w:p>
    <w:p w14:paraId="376DC06C" w14:textId="77777777" w:rsidR="00C5527E" w:rsidRPr="00C5527E" w:rsidRDefault="00C5527E" w:rsidP="00C5527E">
      <w:pPr>
        <w:bidi/>
        <w:rPr>
          <w:rFonts w:eastAsia="Times New Roman"/>
        </w:rPr>
      </w:pPr>
      <w:r>
        <w:rPr>
          <w:rtl/>
        </w:rPr>
        <w:t>الخطوة 6: إعادة الفحص للتأكد من إغلاق الثغرة وإرفاق الدليل في التذكرة قبل الإغلاق.</w:t>
      </w:r>
    </w:p>
    <w:p w14:paraId="087BCF4C" w14:textId="77777777" w:rsidR="00C5527E" w:rsidRPr="00C5527E" w:rsidRDefault="00C5527E" w:rsidP="00C5527E">
      <w:pPr>
        <w:bidi/>
        <w:rPr>
          <w:rFonts w:eastAsia="Times New Roman"/>
        </w:rPr>
      </w:pPr>
      <w:r>
        <w:rPr>
          <w:rtl/>
        </w:rPr>
        <w:t>الخطوة 7: تصعيد تلقائي إلى مدير إدارة أمن المعلومات عند تجاوز 75% من المدة، وإلى CISO عند تجاوز المدة الكاملة.</w:t>
      </w:r>
    </w:p>
    <w:p w14:paraId="10CC44D8" w14:textId="77777777" w:rsidR="00C5527E" w:rsidRPr="00C5527E" w:rsidRDefault="00C5527E" w:rsidP="00C5527E">
      <w:pPr>
        <w:bidi/>
        <w:rPr>
          <w:rFonts w:eastAsia="Times New Roman"/>
        </w:rPr>
      </w:pPr>
      <w:r>
        <w:rPr>
          <w:rtl/>
        </w:rPr>
        <w:t>الخطوة 8: إعداد تقرير شهري بحالة الثغرات يُرفع للإدارة التنفيذية ويُدرج في تقرير أداء ISMS.</w:t>
      </w:r>
    </w:p>
    <w:p w14:paraId="0779C8B8" w14:textId="77777777" w:rsidR="00C5527E" w:rsidRPr="00C5527E" w:rsidRDefault="00C5527E" w:rsidP="00C5527E">
      <w:pPr>
        <w:bidi/>
        <w:rPr>
          <w:rFonts w:eastAsia="Times New Roman"/>
        </w:rPr>
      </w:pPr>
      <w:r>
        <w:rPr>
          <w:rtl/>
        </w:rPr>
        <w:t>الخطوة 9: معالجة الثغرات التي لا يمكن ترقيعها بضوابط تعويضية موثقة ومعتمدة (Virtual Patching عبر WAF/IPS) مع تحديد تاريخ انتهاء للاستثناء.</w:t>
      </w:r>
    </w:p>
    <w:p w14:paraId="661601CD" w14:textId="77777777" w:rsidR="00C5527E" w:rsidRPr="00C5527E" w:rsidRDefault="00C5527E" w:rsidP="00C5527E">
      <w:pPr>
        <w:bidi/>
        <w:rPr>
          <w:rFonts w:eastAsia="Times New Roman"/>
        </w:rPr>
      </w:pPr>
      <w:r>
        <w:rPr>
          <w:rtl/>
        </w:rPr>
        <w:t>الاستثناءات والاعتمادات: الاستثناءات من مستوى الخدمة الزمني تُعتمد من CISO لمدة أقصاها 30 يوماً قابلة للتجديد مرة واحدة مع ضوابط تعويضية إلزامية.</w:t>
      </w:r>
    </w:p>
    <w:p w14:paraId="754FEFD5" w14:textId="77777777" w:rsidR="00C5527E" w:rsidRPr="00C5527E" w:rsidRDefault="00C5527E" w:rsidP="00C5527E">
      <w:pPr>
        <w:pStyle w:val="Heading2"/>
        <w:bidi/>
        <w:rPr>
          <w:rFonts w:eastAsia="Times New Roman"/>
        </w:rPr>
      </w:pPr>
      <w:r>
        <w:rPr>
          <w:rtl/>
        </w:rPr>
        <w:t>SOP-IT-004: إدارة الشهادات الرقمية ومفاتيح التشفير</w:t>
      </w:r>
    </w:p>
    <w:p w14:paraId="16B0C0D5" w14:textId="77777777" w:rsidR="00C5527E" w:rsidRPr="00C5527E" w:rsidRDefault="00C5527E" w:rsidP="00C5527E">
      <w:pPr>
        <w:bidi/>
        <w:rPr>
          <w:rFonts w:eastAsia="Times New Roman"/>
        </w:rPr>
      </w:pPr>
      <w:r>
        <w:rPr>
          <w:rtl/>
        </w:rPr>
        <w:t>الخطوة 1: حصر جميع الشهادات الرقمية في سجل مركزي يتضمن: الجهة المالكة، النطاق، تاريخ الإصدار والانتهاء، جهة الإصدار، والأهمية.</w:t>
      </w:r>
    </w:p>
    <w:p w14:paraId="15E26800" w14:textId="77777777" w:rsidR="00C5527E" w:rsidRPr="00C5527E" w:rsidRDefault="00C5527E" w:rsidP="00C5527E">
      <w:pPr>
        <w:bidi/>
        <w:rPr>
          <w:rFonts w:eastAsia="Times New Roman"/>
        </w:rPr>
      </w:pPr>
      <w:r>
        <w:rPr>
          <w:rtl/>
        </w:rPr>
        <w:t>الخطوة 2: إسناد مالك محدد لكل شهادة مع بديل واحد على الأقل.</w:t>
      </w:r>
    </w:p>
    <w:p w14:paraId="29BC7974" w14:textId="77777777" w:rsidR="00C5527E" w:rsidRPr="00C5527E" w:rsidRDefault="00C5527E" w:rsidP="00C5527E">
      <w:pPr>
        <w:bidi/>
        <w:rPr>
          <w:rFonts w:eastAsia="Times New Roman"/>
        </w:rPr>
      </w:pPr>
      <w:r>
        <w:rPr>
          <w:rtl/>
        </w:rPr>
        <w:t>الخطوة 3: توليد تنبيهات آلية قبل 60 و30 و7 أيام من انتهاء الصلاحية إلى المالك وفريق العمليات وSOC.</w:t>
      </w:r>
    </w:p>
    <w:p w14:paraId="3E8C2C7C" w14:textId="77777777" w:rsidR="00C5527E" w:rsidRPr="00C5527E" w:rsidRDefault="00C5527E" w:rsidP="00C5527E">
      <w:pPr>
        <w:bidi/>
        <w:rPr>
          <w:rFonts w:eastAsia="Times New Roman"/>
        </w:rPr>
      </w:pPr>
      <w:r>
        <w:rPr>
          <w:rtl/>
        </w:rPr>
        <w:t>الخطوة 4: بدء إجراءات التجديد قبل 30 يوماً على الأقل من الانتهاء، وتجديد الشهادات الحرجة قبل 45 يوماً.</w:t>
      </w:r>
    </w:p>
    <w:p w14:paraId="2293669E" w14:textId="77777777" w:rsidR="00C5527E" w:rsidRPr="00C5527E" w:rsidRDefault="00C5527E" w:rsidP="00C5527E">
      <w:pPr>
        <w:bidi/>
        <w:rPr>
          <w:rFonts w:eastAsia="Times New Roman"/>
        </w:rPr>
      </w:pPr>
      <w:r>
        <w:rPr>
          <w:rtl/>
        </w:rPr>
        <w:t>الخطوة 5: التحقق بعد التجديد من صحة السلسلة وسلامة التكوين عبر فحص خارجي وتوثيق النتيجة في السجل.</w:t>
      </w:r>
    </w:p>
    <w:p w14:paraId="0BD47F83" w14:textId="77777777" w:rsidR="00C5527E" w:rsidRPr="00C5527E" w:rsidRDefault="00C5527E" w:rsidP="00C5527E">
      <w:pPr>
        <w:bidi/>
        <w:rPr>
          <w:rFonts w:eastAsia="Times New Roman"/>
        </w:rPr>
      </w:pPr>
      <w:r>
        <w:rPr>
          <w:rtl/>
        </w:rPr>
        <w:t>الخطوة 6: حفظ المفاتيح الخاصة في وحدات أمان عتادية (HSM) أو خزائن مشفرة مع فصل المهام بين من يولّد المفتاح ومن يستخدمه.</w:t>
      </w:r>
    </w:p>
    <w:p w14:paraId="722C7C55" w14:textId="77777777" w:rsidR="00C5527E" w:rsidRPr="00C5527E" w:rsidRDefault="00C5527E" w:rsidP="00C5527E">
      <w:pPr>
        <w:bidi/>
        <w:rPr>
          <w:rFonts w:eastAsia="Times New Roman"/>
        </w:rPr>
      </w:pPr>
      <w:r>
        <w:rPr>
          <w:rtl/>
        </w:rPr>
        <w:t>الخطوة 7: تدوير مفاتيح التشفير وفق جدول معتمد: سنوياً لمفاتيح التطبيقات، وكل 90 يوماً لمفاتيح الجلسات الإدارية.</w:t>
      </w:r>
    </w:p>
    <w:p w14:paraId="2FAACE7A" w14:textId="77777777" w:rsidR="00C5527E" w:rsidRPr="00C5527E" w:rsidRDefault="00C5527E" w:rsidP="00C5527E">
      <w:pPr>
        <w:bidi/>
        <w:rPr>
          <w:rFonts w:eastAsia="Times New Roman"/>
        </w:rPr>
      </w:pPr>
      <w:r>
        <w:rPr>
          <w:rtl/>
        </w:rPr>
        <w:t>الخطوة 8: مراجعة السجل شهرياً من فريق العمليات ورفع تقرير ربع سنوي لمدير إدارة أمن المعلومات.</w:t>
      </w:r>
    </w:p>
    <w:p w14:paraId="46BFF310" w14:textId="77777777" w:rsidR="00C5527E" w:rsidRPr="00C5527E" w:rsidRDefault="00C5527E" w:rsidP="00C5527E">
      <w:pPr>
        <w:bidi/>
        <w:rPr>
          <w:rFonts w:eastAsia="Times New Roman"/>
        </w:rPr>
      </w:pPr>
      <w:r>
        <w:rPr>
          <w:rtl/>
        </w:rPr>
        <w:t>الخطوة 9: إتلاف المفاتيح والشهادات المنتهية بطريقة آمنة مع تسجيل الإتلاف.</w:t>
      </w:r>
    </w:p>
    <w:p w14:paraId="4CDC975C" w14:textId="77777777" w:rsidR="00C5527E" w:rsidRDefault="00C5527E" w:rsidP="00C5527E">
      <w:pPr>
        <w:bidi/>
      </w:pPr>
      <w:r>
        <w:rPr>
          <w:rtl/>
        </w:rPr>
        <w:t>الاستثناءات والاعتمادات: لا يجوز تمديد شهادة منتهية دون موافقة كتابية من مدير إدارة أمن المعلومات، وتُعامل أي شهادة منتهية كحادث أمني متوسط.</w:t>
      </w:r>
    </w:p>
    <w:p w14:paraId="04D56D33" w14:textId="77777777" w:rsidR="00FF39EB" w:rsidRDefault="00FF39EB" w:rsidP="00FF39EB">
      <w:pPr>
        <w:bidi/>
      </w:pPr>
    </w:p>
    <w:p w14:paraId="28A8ECB9" w14:textId="77777777" w:rsidR="00FF39EB" w:rsidRDefault="00FF39EB" w:rsidP="00FF39EB">
      <w:pPr>
        <w:bidi/>
      </w:pPr>
    </w:p>
    <w:p w14:paraId="344A9EBE" w14:textId="77777777" w:rsidR="00FF39EB" w:rsidRDefault="00FF39EB" w:rsidP="00FF39EB">
      <w:pPr>
        <w:bidi/>
      </w:pPr>
    </w:p>
    <w:p w14:paraId="1F00F158" w14:textId="77777777" w:rsidR="00FF39EB" w:rsidRPr="00C5527E" w:rsidRDefault="00FF39EB" w:rsidP="00FF39EB">
      <w:pPr>
        <w:bidi/>
        <w:rPr>
          <w:rFonts w:eastAsia="Times New Roman"/>
        </w:rPr>
      </w:pPr>
    </w:p>
    <w:p w14:paraId="45A78980" w14:textId="77777777" w:rsidR="00C5527E" w:rsidRPr="00C5527E" w:rsidRDefault="00C5527E" w:rsidP="00C5527E">
      <w:pPr>
        <w:pStyle w:val="Heading2"/>
        <w:bidi/>
        <w:rPr>
          <w:rFonts w:eastAsia="Times New Roman"/>
        </w:rPr>
      </w:pPr>
      <w:r>
        <w:rPr>
          <w:rtl/>
        </w:rPr>
        <w:lastRenderedPageBreak/>
        <w:t>SOP-IT-005: إدارة الوصول ومراجعة الصلاحيات (UAR)</w:t>
      </w:r>
    </w:p>
    <w:p w14:paraId="4752CE9D" w14:textId="77777777" w:rsidR="00C5527E" w:rsidRPr="00C5527E" w:rsidRDefault="00C5527E" w:rsidP="00C5527E">
      <w:pPr>
        <w:bidi/>
        <w:rPr>
          <w:rFonts w:eastAsia="Times New Roman"/>
        </w:rPr>
      </w:pPr>
      <w:r>
        <w:rPr>
          <w:rtl/>
        </w:rPr>
        <w:t>الخطوة 1: تقديم طلب الصلاحية عبر Jira مع تحديد النظام والدور والمدة ومبرر الحاجة وموافقة المدير المباشر ومالك الأصل.</w:t>
      </w:r>
    </w:p>
    <w:p w14:paraId="4ECD3214" w14:textId="77777777" w:rsidR="00C5527E" w:rsidRPr="00C5527E" w:rsidRDefault="00C5527E" w:rsidP="00C5527E">
      <w:pPr>
        <w:bidi/>
        <w:rPr>
          <w:rFonts w:eastAsia="Times New Roman"/>
        </w:rPr>
      </w:pPr>
      <w:r>
        <w:rPr>
          <w:rtl/>
        </w:rPr>
        <w:t>الخطوة 2: المنح وفق مبدأ الحد الأدنى من الصلاحيات ونموذج RBAC المعتمد، مع حظر الصلاحيات العامة (Wildcard).</w:t>
      </w:r>
    </w:p>
    <w:p w14:paraId="31070953" w14:textId="77777777" w:rsidR="00C5527E" w:rsidRPr="00C5527E" w:rsidRDefault="00C5527E" w:rsidP="00C5527E">
      <w:pPr>
        <w:bidi/>
        <w:rPr>
          <w:rFonts w:eastAsia="Times New Roman"/>
        </w:rPr>
      </w:pPr>
      <w:r>
        <w:rPr>
          <w:rtl/>
        </w:rPr>
        <w:t>الخطوة 3: تنفيذ مراجعة ربع سنوية شاملة (UAR) لجميع الحسابات على الأنظمة الحرجة وتوثيق قرار المالك (إبقاء/تعديل/سحب) لكل حساب.</w:t>
      </w:r>
    </w:p>
    <w:p w14:paraId="75FD89BE" w14:textId="77777777" w:rsidR="00C5527E" w:rsidRPr="00C5527E" w:rsidRDefault="00C5527E" w:rsidP="00C5527E">
      <w:pPr>
        <w:bidi/>
        <w:rPr>
          <w:rFonts w:eastAsia="Times New Roman"/>
        </w:rPr>
      </w:pPr>
      <w:r>
        <w:rPr>
          <w:rtl/>
        </w:rPr>
        <w:t>الخطوة 4: سحب الصلاحيات خلال 4 ساعات من إشعار إنهاء الخدمة أو تغيير الدور، وإقفال الحسابات غير المستخدمة خلال 30 يوماً.</w:t>
      </w:r>
    </w:p>
    <w:p w14:paraId="1A9A4100" w14:textId="77777777" w:rsidR="00C5527E" w:rsidRPr="00C5527E" w:rsidRDefault="00C5527E" w:rsidP="00C5527E">
      <w:pPr>
        <w:bidi/>
        <w:rPr>
          <w:rFonts w:eastAsia="Times New Roman"/>
        </w:rPr>
      </w:pPr>
      <w:r>
        <w:rPr>
          <w:rtl/>
        </w:rPr>
        <w:t>الخطوة 5: مراجعة شهرية للحسابات الإدارية والمميّزة والتحقق من عدم وجود حسابات مشتركة.</w:t>
      </w:r>
    </w:p>
    <w:p w14:paraId="2ABC63F5" w14:textId="77777777" w:rsidR="00C5527E" w:rsidRPr="00C5527E" w:rsidRDefault="00C5527E" w:rsidP="00C5527E">
      <w:pPr>
        <w:bidi/>
        <w:rPr>
          <w:rFonts w:eastAsia="Times New Roman"/>
        </w:rPr>
      </w:pPr>
      <w:r>
        <w:rPr>
          <w:rtl/>
        </w:rPr>
        <w:t>الخطوة 6: إدراج بند سحب صلاحيات المشروع في قائمة إنجاز إغلاق أي مشروع قبل اعتماده نهائياً.</w:t>
      </w:r>
    </w:p>
    <w:p w14:paraId="1853885F" w14:textId="77777777" w:rsidR="00C5527E" w:rsidRPr="00C5527E" w:rsidRDefault="00C5527E" w:rsidP="00C5527E">
      <w:pPr>
        <w:bidi/>
        <w:rPr>
          <w:rFonts w:eastAsia="Times New Roman"/>
        </w:rPr>
      </w:pPr>
      <w:r>
        <w:rPr>
          <w:rtl/>
        </w:rPr>
        <w:t>الخطوة 7: تفعيل تنبيه آلي عند انضمام أي حساب إلى مجموعة ذات صلاحية على بيانات حساسة (بيانات العملاء، الرواتب، الخزينة).</w:t>
      </w:r>
    </w:p>
    <w:p w14:paraId="57A35A3C" w14:textId="77777777" w:rsidR="00C5527E" w:rsidRPr="00C5527E" w:rsidRDefault="00C5527E" w:rsidP="00C5527E">
      <w:pPr>
        <w:bidi/>
        <w:rPr>
          <w:rFonts w:eastAsia="Times New Roman"/>
        </w:rPr>
      </w:pPr>
      <w:r>
        <w:rPr>
          <w:rtl/>
        </w:rPr>
        <w:t>الخطوة 8: توثيق نتائج المراجعات في سجل المراجعات ورفع تقرير ربع سنوي لمدير إدارة أمن المعلومات ولجنة المخاطر.</w:t>
      </w:r>
    </w:p>
    <w:p w14:paraId="30C992B4" w14:textId="77777777" w:rsidR="00C5527E" w:rsidRPr="00C5527E" w:rsidRDefault="00C5527E" w:rsidP="00C5527E">
      <w:pPr>
        <w:bidi/>
        <w:rPr>
          <w:rFonts w:eastAsia="Times New Roman"/>
        </w:rPr>
      </w:pPr>
      <w:r>
        <w:rPr>
          <w:rtl/>
        </w:rPr>
        <w:t>الاستثناءات والاعتمادات: الاستثناءات المؤقتة (وصول طارئ) تُمنح لمدة أقصاها 72 ساعة بحساب كسر الزجاج (Break-Glass) مع تسجيل الجلسة وإشعار فوري لـSOC.</w:t>
      </w:r>
    </w:p>
    <w:p w14:paraId="400DD43D" w14:textId="77777777" w:rsidR="00C5527E" w:rsidRPr="00C5527E" w:rsidRDefault="00C5527E" w:rsidP="00C5527E">
      <w:pPr>
        <w:pStyle w:val="Heading2"/>
        <w:bidi/>
        <w:rPr>
          <w:rFonts w:eastAsia="Times New Roman"/>
        </w:rPr>
      </w:pPr>
      <w:r>
        <w:rPr>
          <w:rtl/>
        </w:rPr>
        <w:t>SOP-IT-006: المراقبة الأمنية وتشغيل مركز العمليات الأمنية (SOC)</w:t>
      </w:r>
    </w:p>
    <w:p w14:paraId="6D94019F" w14:textId="77777777" w:rsidR="00C5527E" w:rsidRPr="00C5527E" w:rsidRDefault="00C5527E" w:rsidP="00C5527E">
      <w:pPr>
        <w:bidi/>
        <w:rPr>
          <w:rFonts w:eastAsia="Times New Roman"/>
        </w:rPr>
      </w:pPr>
      <w:r>
        <w:rPr>
          <w:rtl/>
        </w:rPr>
        <w:t>الخطوة 1: تشغيل مناوبات SOC على مدار 24/7 بواقع 8 محللين مع تسليم وردية موثق (Shift Handover).</w:t>
      </w:r>
    </w:p>
    <w:p w14:paraId="620F2C51" w14:textId="77777777" w:rsidR="00C5527E" w:rsidRPr="00C5527E" w:rsidRDefault="00C5527E" w:rsidP="00C5527E">
      <w:pPr>
        <w:bidi/>
        <w:rPr>
          <w:rFonts w:eastAsia="Times New Roman"/>
        </w:rPr>
      </w:pPr>
      <w:r>
        <w:rPr>
          <w:rtl/>
        </w:rPr>
        <w:t>الخطوة 2: مراجعة يومية لقوائم التنبيهات عالية الأولوية من IDS/IPS ومكافحة الفيروسات وبوابة البريد قبل الساعة 10:00 صباحاً.</w:t>
      </w:r>
    </w:p>
    <w:p w14:paraId="7B240D7E" w14:textId="77777777" w:rsidR="00C5527E" w:rsidRPr="00C5527E" w:rsidRDefault="00C5527E" w:rsidP="00C5527E">
      <w:pPr>
        <w:bidi/>
        <w:rPr>
          <w:rFonts w:eastAsia="Times New Roman"/>
        </w:rPr>
      </w:pPr>
      <w:r>
        <w:rPr>
          <w:rtl/>
        </w:rPr>
        <w:t>الخطوة 3: التحقق أسبوعياً من استلام السجلات من جميع المصادر الحرجة (12 مصدراً) وإبلاغ مالك المصدر عند أي انقطاع خلال 24 ساعة.</w:t>
      </w:r>
    </w:p>
    <w:p w14:paraId="31269475" w14:textId="77777777" w:rsidR="00C5527E" w:rsidRPr="00C5527E" w:rsidRDefault="00C5527E" w:rsidP="00C5527E">
      <w:pPr>
        <w:bidi/>
        <w:rPr>
          <w:rFonts w:eastAsia="Times New Roman"/>
        </w:rPr>
      </w:pPr>
      <w:r>
        <w:rPr>
          <w:rtl/>
        </w:rPr>
        <w:t>الخطوة 4: التحقق أسبوعياً من مزامنة الوقت (NTP) لجميع الأجهزة والخوادم ومعالجة أي انحراف يتجاوز ثانية واحدة.</w:t>
      </w:r>
    </w:p>
    <w:p w14:paraId="301A25BF" w14:textId="77777777" w:rsidR="00C5527E" w:rsidRPr="00C5527E" w:rsidRDefault="00C5527E" w:rsidP="00C5527E">
      <w:pPr>
        <w:bidi/>
        <w:rPr>
          <w:rFonts w:eastAsia="Times New Roman"/>
        </w:rPr>
      </w:pPr>
      <w:r>
        <w:rPr>
          <w:rtl/>
        </w:rPr>
        <w:t>الخطوة 5: تصنيف كل حدث وفق معايير الإجراء المعتمد (منخفض/متوسط/مرتفع/حرج) وفتح تذكرة Jira خلال ساعتين من التصنيف.</w:t>
      </w:r>
    </w:p>
    <w:p w14:paraId="7626D0AC" w14:textId="77777777" w:rsidR="00C5527E" w:rsidRPr="00C5527E" w:rsidRDefault="00C5527E" w:rsidP="00C5527E">
      <w:pPr>
        <w:bidi/>
        <w:rPr>
          <w:rFonts w:eastAsia="Times New Roman"/>
        </w:rPr>
      </w:pPr>
      <w:r>
        <w:rPr>
          <w:rtl/>
        </w:rPr>
        <w:t>الخطوة 6: تصعيد الأحداث المرتفعة والحرجة فوراً إلى فريق الاستجابة للحوادث ومدير إدارة أمن المعلومات وفق مصفوفة التصعيد.</w:t>
      </w:r>
    </w:p>
    <w:p w14:paraId="4A2050D8" w14:textId="77777777" w:rsidR="00C5527E" w:rsidRPr="00C5527E" w:rsidRDefault="00C5527E" w:rsidP="00C5527E">
      <w:pPr>
        <w:bidi/>
        <w:rPr>
          <w:rFonts w:eastAsia="Times New Roman"/>
        </w:rPr>
      </w:pPr>
      <w:r>
        <w:rPr>
          <w:rtl/>
        </w:rPr>
        <w:t>الخطوة 7: حماية السجلات من التعديل عبر صلاحيات كتابة فقط (Write-Only) ومراجعة ربع سنوية لسلامة خادم Syslog.</w:t>
      </w:r>
    </w:p>
    <w:p w14:paraId="54CA39C5" w14:textId="77777777" w:rsidR="00C5527E" w:rsidRPr="00C5527E" w:rsidRDefault="00C5527E" w:rsidP="00C5527E">
      <w:pPr>
        <w:bidi/>
        <w:rPr>
          <w:rFonts w:eastAsia="Times New Roman"/>
        </w:rPr>
      </w:pPr>
      <w:r>
        <w:rPr>
          <w:rtl/>
        </w:rPr>
        <w:t>الخطوة 8: إعداد تقرير مراقبة أسبوعي ولوحة مؤشرات شهرية تشمل MTTD وMTTC وعدد التنبيهات ونسبة الإغلاق.</w:t>
      </w:r>
    </w:p>
    <w:p w14:paraId="6D172975" w14:textId="77777777" w:rsidR="00C5527E" w:rsidRPr="00C5527E" w:rsidRDefault="00C5527E" w:rsidP="00C5527E">
      <w:pPr>
        <w:bidi/>
        <w:rPr>
          <w:rFonts w:eastAsia="Times New Roman"/>
        </w:rPr>
      </w:pPr>
      <w:r>
        <w:rPr>
          <w:rtl/>
        </w:rPr>
        <w:t>الخطوة 9: تحديث حالات استخدام الكشف (Use Cases) شهرياً وفق معلومات التهديدات والحوادث السابقة.</w:t>
      </w:r>
    </w:p>
    <w:p w14:paraId="2C9E671D" w14:textId="77777777" w:rsidR="00C5527E" w:rsidRDefault="00C5527E" w:rsidP="00C5527E">
      <w:pPr>
        <w:bidi/>
      </w:pPr>
      <w:r>
        <w:rPr>
          <w:rtl/>
        </w:rPr>
        <w:t>الاستثناءات والاعتمادات: عند تعطل خادم Syslog تُفعّل مراقبة يدوية معززة على الأنظمة الحرجة ويُبلّغ مدير إدارة أمن المعلومات خلال ساعة واحدة.</w:t>
      </w:r>
    </w:p>
    <w:p w14:paraId="25F83F09" w14:textId="77777777" w:rsidR="00FF39EB" w:rsidRDefault="00FF39EB" w:rsidP="00FF39EB">
      <w:pPr>
        <w:bidi/>
      </w:pPr>
    </w:p>
    <w:p w14:paraId="1C83DA8C" w14:textId="77777777" w:rsidR="00FF39EB" w:rsidRDefault="00FF39EB" w:rsidP="00FF39EB">
      <w:pPr>
        <w:bidi/>
      </w:pPr>
    </w:p>
    <w:p w14:paraId="597C5F93" w14:textId="77777777" w:rsidR="00FF39EB" w:rsidRPr="00C5527E" w:rsidRDefault="00FF39EB" w:rsidP="00FF39EB">
      <w:pPr>
        <w:bidi/>
        <w:rPr>
          <w:rFonts w:eastAsia="Times New Roman"/>
        </w:rPr>
      </w:pPr>
    </w:p>
    <w:p w14:paraId="53E695E1" w14:textId="77777777" w:rsidR="00C5527E" w:rsidRPr="00C5527E" w:rsidRDefault="00C5527E" w:rsidP="000A73AA">
      <w:pPr>
        <w:pStyle w:val="Heading1"/>
        <w:bidi/>
        <w:rPr>
          <w:rFonts w:eastAsia="Times New Roman"/>
        </w:rPr>
      </w:pPr>
      <w:r w:rsidRPr="00C5527E">
        <w:rPr>
          <w:rFonts w:eastAsia="Times New Roman"/>
          <w:rtl/>
        </w:rPr>
        <w:lastRenderedPageBreak/>
        <w:t>5. الضوابط الأمنية المطبقة</w:t>
      </w:r>
    </w:p>
    <w:p w14:paraId="5010CA7B" w14:textId="77777777" w:rsidR="00C5527E" w:rsidRPr="00C5527E" w:rsidRDefault="00C5527E" w:rsidP="00C5527E">
      <w:pPr>
        <w:bidi/>
        <w:rPr>
          <w:rFonts w:eastAsia="Times New Roman"/>
        </w:rPr>
      </w:pPr>
      <w:r w:rsidRPr="00C5527E">
        <w:rPr>
          <w:rFonts w:eastAsia="Times New Roman"/>
          <w:rtl/>
        </w:rPr>
        <w:t>ترتبط الإجراءات بالضوابط والمخاطر الآتية، بما يضمن التتبع من الأصل إلى الخطر إلى المعالجة إلى الضابط:</w:t>
      </w:r>
      <w:r w:rsidRPr="00C5527E">
        <w:rPr>
          <w:rFonts w:eastAsia="Times New Roman"/>
          <w:rtl/>
        </w:rPr>
        <w:br/>
        <w:t>SOP-IT-001 - النسخ الاحتياطي والاستعادة: ضوابط ISO/IEC 27001:2022 (A.8.13، A.8.14، A.5.30، A.7.10) | المخاطر المعالجة (R-001، R-011، R-031).</w:t>
      </w:r>
      <w:r w:rsidRPr="00C5527E">
        <w:rPr>
          <w:rFonts w:eastAsia="Times New Roman"/>
          <w:rtl/>
        </w:rPr>
        <w:br/>
        <w:t>SOP-IT-002 - إدارة التغيير على الأنظمة والشبكات: ضوابط ISO/IEC 27001:2022 (A.8.32، A.8.20، A.8.9، A.5.37) | المخاطر المعالجة (R-009، R-029، R-008).</w:t>
      </w:r>
      <w:r w:rsidRPr="00C5527E">
        <w:rPr>
          <w:rFonts w:eastAsia="Times New Roman"/>
          <w:rtl/>
        </w:rPr>
        <w:br/>
        <w:t>SOP-IT-003 - إدارة الثغرات والترقيع: ضوابط ISO/IEC 27001:2022 (A.8.8، A.8.29، A.8.7، A.5.7) | المخاطر المعالجة (R-003، R-004، R-017، R-028).</w:t>
      </w:r>
      <w:r w:rsidRPr="00C5527E">
        <w:rPr>
          <w:rFonts w:eastAsia="Times New Roman"/>
          <w:rtl/>
        </w:rPr>
        <w:br/>
        <w:t>SOP-IT-004 - إدارة الشهادات الرقمية ومفاتيح التشفير: ضوابط ISO/IEC 27001:2022 (A.8.24، A.5.9، A.5.37، A.8.16) | المخاطر المعالجة (R-008، R-019، R-025).</w:t>
      </w:r>
      <w:r w:rsidRPr="00C5527E">
        <w:rPr>
          <w:rFonts w:eastAsia="Times New Roman"/>
          <w:rtl/>
        </w:rPr>
        <w:br/>
        <w:t>SOP-IT-005 - إدارة الوصول ومراجعة الصلاحيات (UAR): ضوابط ISO/IEC 27001:2022 (A.5.15، A.5.16، A.5.17، A.5.18، A.8.2، A.8.3) | المخاطر المعالجة (R-005، R-006، R-016، R-023).</w:t>
      </w:r>
      <w:r w:rsidRPr="00C5527E">
        <w:rPr>
          <w:rFonts w:eastAsia="Times New Roman"/>
          <w:rtl/>
        </w:rPr>
        <w:br/>
        <w:t>SOP-IT-006 - المراقبة الأمنية وتشغيل مركز العمليات الأمنية (SOC): ضوابط ISO/IEC 27001:2022 (A.8.15، A.8.16، A.5.25، A.5.24، A.8.17) | المخاطر المعالجة (R-024، R-001، R-002، R-010).</w:t>
      </w:r>
      <w:r w:rsidRPr="00C5527E">
        <w:rPr>
          <w:rFonts w:eastAsia="Times New Roman"/>
          <w:rtl/>
        </w:rPr>
        <w:br/>
        <w:t>وتُنفَّذ هذه الإجراءات بما يتوافق مع خط الأساس للتكوينات الآمنة (R9 - الفئات SCB-001 إلى SCB-006) وسياسة الاستخدام المقبول (ISMS-DOC-A05-10-1)، وأي تعارض بينها يُحسم بالرجوع إلى سياسة أمن المعلومات (ISMS-DOC-05-4) ثم إلى لجنة أمن المعلومات.</w:t>
      </w:r>
    </w:p>
    <w:p w14:paraId="2F34A02F" w14:textId="77777777" w:rsidR="00C5527E" w:rsidRPr="00C5527E" w:rsidRDefault="00C5527E" w:rsidP="000A73AA">
      <w:pPr>
        <w:pStyle w:val="Heading1"/>
        <w:bidi/>
        <w:rPr>
          <w:rFonts w:eastAsia="Times New Roman"/>
        </w:rPr>
      </w:pPr>
      <w:r w:rsidRPr="00C5527E">
        <w:rPr>
          <w:rFonts w:eastAsia="Times New Roman"/>
          <w:rtl/>
        </w:rPr>
        <w:t>6. إدارة الحوادث</w:t>
      </w:r>
    </w:p>
    <w:p w14:paraId="10F1FA34" w14:textId="77777777" w:rsidR="00C5527E" w:rsidRDefault="00C5527E" w:rsidP="00C5527E">
      <w:pPr>
        <w:bidi/>
        <w:rPr>
          <w:rFonts w:eastAsia="Times New Roman"/>
        </w:rPr>
      </w:pPr>
      <w:r w:rsidRPr="00C5527E">
        <w:rPr>
          <w:rFonts w:eastAsia="Times New Roman"/>
          <w:rtl/>
        </w:rPr>
        <w:t>تُعالج الأحداث والحوادث الناشئة أثناء تنفيذ هذه الإجراءات وفق إجراء الاستجابة لحوادث أمن المعلومات (ISMS-DOC-A05-26-1) المعتمد في 2026-05-04:</w:t>
      </w:r>
      <w:r w:rsidRPr="00C5527E">
        <w:rPr>
          <w:rFonts w:eastAsia="Times New Roman"/>
          <w:rtl/>
        </w:rPr>
        <w:br/>
        <w:t>• الإبلاغ: يلتزم كل من يلاحظ خللاً أو حدثاً أمنياً بالإبلاغ خلال 30 دقيقة عبر تذكرة Jira أو البريد الأمني المعتمد أو الخط الساخن لمركز العمليات الأمنية (SOC) المتاح على مدار الساعة.</w:t>
      </w:r>
      <w:r w:rsidRPr="00C5527E">
        <w:rPr>
          <w:rFonts w:eastAsia="Times New Roman"/>
          <w:rtl/>
        </w:rPr>
        <w:br/>
        <w:t>• التصنيف: يصنّف فريق SOC الحدث (منخفض / متوسط / مرتفع / حرج) خلال ساعتين من البلاغ، ويُفتح رقم حادث (مثل INC-2026-012).</w:t>
      </w:r>
      <w:r w:rsidRPr="00C5527E">
        <w:rPr>
          <w:rFonts w:eastAsia="Times New Roman"/>
          <w:rtl/>
        </w:rPr>
        <w:br/>
        <w:t>• الاحتواء والمعالجة: تُنفَّذ إجراءات الاحتواء وفق مصفوفة الأولويات المعتمدة (MTTC مستهدف ≤ 4 ساعات)، مع توثيق الأدلة وسلسلة العهدة وفق الضابطين A.5.28 وA.8.15.</w:t>
      </w:r>
      <w:r w:rsidRPr="00C5527E">
        <w:rPr>
          <w:rFonts w:eastAsia="Times New Roman"/>
          <w:rtl/>
        </w:rPr>
        <w:br/>
        <w:t>• التصعيد: تُصعَّد الأحداث المرتفعة والحرجة فوراً إلى مدير إدارة أمن المعلومات ثم إلى الرئيس التنفيذي، وتُبلَّغ الجهات الإشرافية (ساما، سدايا، الهيئة الوطنية للأمن السيبراني) ضمن المدد النظامية.</w:t>
      </w:r>
      <w:r w:rsidRPr="00C5527E">
        <w:rPr>
          <w:rFonts w:eastAsia="Times New Roman"/>
          <w:rtl/>
        </w:rPr>
        <w:br/>
        <w:t>• أمثلة من سجل الحوادث للفترة (2026-03-01 إلى 2026-08-31): فشل مهمة نسخ احتياطي لقاعدة بيانات الموارد البشرية (INC-2026-007 - SOP-IT-001)، انتهاء صلاحية شهادة SSL للموقع وبوابة آفاق نت (INC-2026-004 - SOP-IT-004)، صلاحيات وصول غير مصرح بها لموظفي تقنية المعلومات على مجلدات الموارد البشرية (INC-2026-009 - SOP-IT-005).</w:t>
      </w:r>
      <w:r w:rsidRPr="00C5527E">
        <w:rPr>
          <w:rFonts w:eastAsia="Times New Roman"/>
          <w:rtl/>
        </w:rPr>
        <w:br/>
        <w:t>• الدروس المستفادة: تُوثَّق خلال 5 أيام عمل من إغلاق الحادث وتُغذَّى بها خطوات هذه الإجراءات وسجل المخاطر عند الحاجة.</w:t>
      </w:r>
    </w:p>
    <w:p w14:paraId="1B757EBD" w14:textId="77777777" w:rsidR="00FF39EB" w:rsidRDefault="00FF39EB" w:rsidP="00FF39EB">
      <w:pPr>
        <w:bidi/>
        <w:rPr>
          <w:rFonts w:eastAsia="Times New Roman"/>
        </w:rPr>
      </w:pPr>
    </w:p>
    <w:p w14:paraId="61EEEC2F" w14:textId="77777777" w:rsidR="00FF39EB" w:rsidRDefault="00FF39EB" w:rsidP="00FF39EB">
      <w:pPr>
        <w:bidi/>
        <w:rPr>
          <w:rFonts w:eastAsia="Times New Roman"/>
        </w:rPr>
      </w:pPr>
    </w:p>
    <w:p w14:paraId="437692C6" w14:textId="77777777" w:rsidR="00FF39EB" w:rsidRDefault="00FF39EB" w:rsidP="00FF39EB">
      <w:pPr>
        <w:bidi/>
        <w:rPr>
          <w:rFonts w:eastAsia="Times New Roman"/>
        </w:rPr>
      </w:pPr>
    </w:p>
    <w:p w14:paraId="37F2B91D" w14:textId="77777777" w:rsidR="00FF39EB" w:rsidRDefault="00FF39EB" w:rsidP="00FF39EB">
      <w:pPr>
        <w:bidi/>
        <w:rPr>
          <w:rFonts w:eastAsia="Times New Roman"/>
        </w:rPr>
      </w:pPr>
    </w:p>
    <w:p w14:paraId="2125EB22" w14:textId="77777777" w:rsidR="00FF39EB" w:rsidRDefault="00FF39EB" w:rsidP="00FF39EB">
      <w:pPr>
        <w:bidi/>
        <w:rPr>
          <w:rFonts w:eastAsia="Times New Roman"/>
        </w:rPr>
      </w:pPr>
    </w:p>
    <w:p w14:paraId="70238C03" w14:textId="77777777" w:rsidR="00FF39EB" w:rsidRDefault="00FF39EB" w:rsidP="00FF39EB">
      <w:pPr>
        <w:bidi/>
        <w:rPr>
          <w:rFonts w:eastAsia="Times New Roman"/>
        </w:rPr>
      </w:pPr>
    </w:p>
    <w:p w14:paraId="293865B0" w14:textId="77777777" w:rsidR="00FF39EB" w:rsidRPr="00C5527E" w:rsidRDefault="00FF39EB" w:rsidP="00FF39EB">
      <w:pPr>
        <w:bidi/>
        <w:rPr>
          <w:rFonts w:eastAsia="Times New Roman"/>
        </w:rPr>
      </w:pPr>
    </w:p>
    <w:p w14:paraId="2E18492D" w14:textId="77777777" w:rsidR="00C5527E" w:rsidRPr="00C5527E" w:rsidRDefault="00C5527E" w:rsidP="000A73AA">
      <w:pPr>
        <w:pStyle w:val="Heading1"/>
        <w:bidi/>
        <w:rPr>
          <w:rFonts w:eastAsia="Times New Roman"/>
        </w:rPr>
      </w:pPr>
      <w:r w:rsidRPr="00C5527E">
        <w:rPr>
          <w:rFonts w:eastAsia="Times New Roman"/>
          <w:rtl/>
        </w:rPr>
        <w:lastRenderedPageBreak/>
        <w:t>7. المراقبة والتدقيق</w:t>
      </w:r>
    </w:p>
    <w:p w14:paraId="74BC043C" w14:textId="77777777" w:rsidR="00C5527E" w:rsidRPr="00C5527E" w:rsidRDefault="00C5527E" w:rsidP="00C5527E">
      <w:pPr>
        <w:bidi/>
        <w:rPr>
          <w:rFonts w:eastAsia="Times New Roman"/>
        </w:rPr>
      </w:pPr>
      <w:r w:rsidRPr="00C5527E">
        <w:rPr>
          <w:rFonts w:eastAsia="Times New Roman"/>
          <w:rtl/>
        </w:rPr>
        <w:t>تُراقَب فعالية هذه الإجراءات وتُدقَّق على النحو الآتي:</w:t>
      </w:r>
      <w:r w:rsidRPr="00C5527E">
        <w:rPr>
          <w:rFonts w:eastAsia="Times New Roman"/>
          <w:rtl/>
        </w:rPr>
        <w:br/>
        <w:t>السجلات والأدلة الإلزامية لكل إجراء:</w:t>
      </w:r>
      <w:r w:rsidRPr="00C5527E">
        <w:rPr>
          <w:rFonts w:eastAsia="Times New Roman"/>
          <w:rtl/>
        </w:rPr>
        <w:br/>
        <w:t>SOP-IT-001: تقارير نجاح النسخ اليومية، سجل حركة الأشرطة، تقارير اختبارات الاستعادة، تذاكر Jira للفشل والمعالجة..</w:t>
      </w:r>
      <w:r w:rsidRPr="00C5527E">
        <w:rPr>
          <w:rFonts w:eastAsia="Times New Roman"/>
          <w:rtl/>
        </w:rPr>
        <w:br/>
        <w:t>SOP-IT-002: تذاكر التغيير في Jira، محاضر لجنة CAB، سجلات التكوين قبل وبعد التغيير، تقارير التحقق اللاحق..</w:t>
      </w:r>
      <w:r w:rsidRPr="00C5527E">
        <w:rPr>
          <w:rFonts w:eastAsia="Times New Roman"/>
          <w:rtl/>
        </w:rPr>
        <w:br/>
        <w:t>SOP-IT-003: تقارير Qualys، تذاكر Jira، سجل الاستثناءات، التقارير الشهرية للثغرات، تقارير الاستشاري الخارجي..</w:t>
      </w:r>
      <w:r w:rsidRPr="00C5527E">
        <w:rPr>
          <w:rFonts w:eastAsia="Times New Roman"/>
          <w:rtl/>
        </w:rPr>
        <w:br/>
        <w:t>SOP-IT-004: السجل المركزي للشهادات، سجل المفاتيح ودورات التدوير، تنبيهات الانتهاء، تقارير المراجعة الشهرية والربع سنوية..</w:t>
      </w:r>
      <w:r w:rsidRPr="00C5527E">
        <w:rPr>
          <w:rFonts w:eastAsia="Times New Roman"/>
          <w:rtl/>
        </w:rPr>
        <w:br/>
        <w:t>SOP-IT-005: طلبات الصلاحيات في Jira، سجل المراجعات الربع سنوية، تقارير الحسابات الإدارية، سجلات دخول الأنظمة، تنبيهات المجموعات الحساسة..</w:t>
      </w:r>
      <w:r w:rsidRPr="00C5527E">
        <w:rPr>
          <w:rFonts w:eastAsia="Times New Roman"/>
          <w:rtl/>
        </w:rPr>
        <w:br/>
        <w:t>SOP-IT-006: سجلات المناوبات وتقارير التسليم، سجل التنبيهات والتذاكر، تقارير استلام السجلات الأسبوعية، لوحة المؤشرات الشهرية، تقارير فحص مزامنة الوقت..</w:t>
      </w:r>
      <w:r w:rsidRPr="00C5527E">
        <w:rPr>
          <w:rFonts w:eastAsia="Times New Roman"/>
          <w:rtl/>
        </w:rPr>
        <w:br/>
        <w:t>المراقبة: يراجع مدير إدارة أمن المعلومات سجلات الإجراءات شهرياً، وتُدرج مؤشرات الالتزام (نسبة نجاح النسخ، نسبة التغييرات المعتمدة، نسبة الثغرات ضمن مستوى الخدمة، نسبة مراجعات الصلاحيات المنفذة، نسبة اكتمال شهادات سارية، مؤشرات MTTD وMTTC) في تقرير أداء نظام إدارة أمن المعلومات (ISMS-PERF-09-1).</w:t>
      </w:r>
      <w:r w:rsidRPr="00C5527E">
        <w:rPr>
          <w:rFonts w:eastAsia="Times New Roman"/>
          <w:rtl/>
        </w:rPr>
        <w:br/>
        <w:t>التدقيق: تُدقَّق الإجراءات ضمن برنامج التدقيق الداخلي السنوي (البند 9.2 من ISO/IEC 27001:2022)؛ ونُفذ آخر تدقيق في الفترة من 2026-08-16 إلى 2026-08-27 (تقرير ISMS-DOC-09-5 الصادر في 2026-09-01) وأسفر عن 5 حالات عدم مطابقة و6 فرص تحسين، منها ما يتعلق مباشرة بهذه الإجراءات: NC-02 (عدم تنفيذ مراجعة دورية كاملة لحقوق الوصول - SOP-IT-005، استحقاق 2026-10-31)، وNC-04 (عدم إجراء اختبار كامل للتعافي من الكوارث - SOP-IT-001، استحقاق 2026-11-30)، وNC-05 (تجاوز مستويات خدمة معالجة الثغرات - SOP-IT-003، استحقاق 2026-10-31).</w:t>
      </w:r>
    </w:p>
    <w:p w14:paraId="6BFB572C" w14:textId="77777777" w:rsidR="00C5527E" w:rsidRPr="00C5527E" w:rsidRDefault="00C5527E" w:rsidP="000A73AA">
      <w:pPr>
        <w:pStyle w:val="Heading1"/>
        <w:bidi/>
        <w:rPr>
          <w:rFonts w:eastAsia="Times New Roman"/>
        </w:rPr>
      </w:pPr>
      <w:r w:rsidRPr="00C5527E">
        <w:rPr>
          <w:rFonts w:eastAsia="Times New Roman"/>
          <w:rtl/>
        </w:rPr>
        <w:t>8. المراجعة والتحديث</w:t>
      </w:r>
    </w:p>
    <w:p w14:paraId="244C2A0C" w14:textId="77777777" w:rsidR="00C5527E" w:rsidRDefault="00C5527E" w:rsidP="00C5527E">
      <w:pPr>
        <w:bidi/>
        <w:rPr>
          <w:rFonts w:eastAsia="Times New Roman"/>
        </w:rPr>
      </w:pPr>
      <w:r w:rsidRPr="00C5527E">
        <w:rPr>
          <w:rFonts w:eastAsia="Times New Roman"/>
          <w:rtl/>
        </w:rPr>
        <w:t>تُراجع هذه الإجراءات وتُحدَّث وفق الدورات الآتية:</w:t>
      </w:r>
      <w:r w:rsidRPr="00C5527E">
        <w:rPr>
          <w:rFonts w:eastAsia="Times New Roman"/>
          <w:rtl/>
        </w:rPr>
        <w:br/>
        <w:t>SOP-IT-001: مراجعة سنوية أو عند تغيير جوهري في البنية التحتية؛ آخر مراجعة 2026-06-01، والمراجعة القادمة 2027-06-01..</w:t>
      </w:r>
      <w:r w:rsidRPr="00C5527E">
        <w:rPr>
          <w:rFonts w:eastAsia="Times New Roman"/>
          <w:rtl/>
        </w:rPr>
        <w:br/>
        <w:t>SOP-IT-002: مراجعة سنوية أو بعد أي حادث ناتج عن تغيير؛ آخر مراجعة 2026-06-01، والمراجعة القادمة 2027-06-01..</w:t>
      </w:r>
      <w:r w:rsidRPr="00C5527E">
        <w:rPr>
          <w:rFonts w:eastAsia="Times New Roman"/>
          <w:rtl/>
        </w:rPr>
        <w:br/>
        <w:t>SOP-IT-003: مراجعة نصف سنوية أو عند تغيير أدوات الفحص؛ آخر مراجعة 2026-06-01، والمراجعة القادمة 2026-12-01..</w:t>
      </w:r>
      <w:r w:rsidRPr="00C5527E">
        <w:rPr>
          <w:rFonts w:eastAsia="Times New Roman"/>
          <w:rtl/>
        </w:rPr>
        <w:br/>
        <w:t>SOP-IT-004: مراجعة سنوية؛ آخر مراجعة 2026-06-15، والمراجعة القادمة 2027-06-15..</w:t>
      </w:r>
      <w:r w:rsidRPr="00C5527E">
        <w:rPr>
          <w:rFonts w:eastAsia="Times New Roman"/>
          <w:rtl/>
        </w:rPr>
        <w:br/>
        <w:t>SOP-IT-005: مراجعة سنوية أو بعد أي حادث وصول غير مصرح؛ آخر مراجعة 2026-06-01، والمراجعة القادمة 2027-06-01..</w:t>
      </w:r>
      <w:r w:rsidRPr="00C5527E">
        <w:rPr>
          <w:rFonts w:eastAsia="Times New Roman"/>
          <w:rtl/>
        </w:rPr>
        <w:br/>
        <w:t>SOP-IT-006: مراجعة ربع سنوية حتى تشغيل SIEM ثم سنوية؛ آخر مراجعة 2026-06-01، والمراجعة القادمة 2026-12-01..</w:t>
      </w:r>
      <w:r w:rsidRPr="00C5527E">
        <w:rPr>
          <w:rFonts w:eastAsia="Times New Roman"/>
          <w:rtl/>
        </w:rPr>
        <w:br/>
        <w:t>آلية التحديث: يقترح مالك الإجراء التعديل مع بيان المبرر والأثر، ويعتمده مدير إدارة تقنية المعلومات بعد مراجعة أمنية من إدارة أمن المعلومات، ثم يُسجَّل الإصدار الجديد في سجل وثائق ISMS ويُبلَّغ المعنيون خلال 5 أيام عمل. ويستوجب أي حادث جوهري أو تغيير في البنية التحتية أو متطلب نظامي جديد مراجعة فورية للإجراء المعني دون انتظار الدورة الدورية.</w:t>
      </w:r>
    </w:p>
    <w:p w14:paraId="24AD51FE" w14:textId="77777777" w:rsidR="00FF39EB" w:rsidRDefault="00FF39EB" w:rsidP="00FF39EB">
      <w:pPr>
        <w:bidi/>
        <w:rPr>
          <w:rFonts w:eastAsia="Times New Roman"/>
        </w:rPr>
      </w:pPr>
    </w:p>
    <w:p w14:paraId="3B110680" w14:textId="77777777" w:rsidR="00FF39EB" w:rsidRDefault="00FF39EB" w:rsidP="00FF39EB">
      <w:pPr>
        <w:bidi/>
        <w:rPr>
          <w:rFonts w:eastAsia="Times New Roman"/>
        </w:rPr>
      </w:pPr>
    </w:p>
    <w:p w14:paraId="23147524" w14:textId="77777777" w:rsidR="00FF39EB" w:rsidRDefault="00FF39EB" w:rsidP="00FF39EB">
      <w:pPr>
        <w:bidi/>
        <w:rPr>
          <w:rFonts w:eastAsia="Times New Roman"/>
        </w:rPr>
      </w:pPr>
    </w:p>
    <w:p w14:paraId="13E049CA" w14:textId="77777777" w:rsidR="00FF39EB" w:rsidRPr="00C5527E" w:rsidRDefault="00FF39EB" w:rsidP="00FF39EB">
      <w:pPr>
        <w:bidi/>
        <w:rPr>
          <w:rFonts w:eastAsia="Times New Roman"/>
        </w:rPr>
      </w:pPr>
    </w:p>
    <w:p w14:paraId="18F5D9F7" w14:textId="77777777" w:rsidR="00C5527E" w:rsidRPr="00C5527E" w:rsidRDefault="00C5527E" w:rsidP="000A73AA">
      <w:pPr>
        <w:pStyle w:val="Heading1"/>
        <w:bidi/>
        <w:rPr>
          <w:rFonts w:eastAsia="Times New Roman"/>
        </w:rPr>
      </w:pPr>
      <w:r w:rsidRPr="00C5527E">
        <w:rPr>
          <w:rFonts w:eastAsia="Times New Roman"/>
          <w:rtl/>
        </w:rPr>
        <w:lastRenderedPageBreak/>
        <w:t>9. المراجع</w:t>
      </w:r>
    </w:p>
    <w:p w14:paraId="2AB796C6" w14:textId="77777777" w:rsidR="00C5527E" w:rsidRPr="00C5527E" w:rsidRDefault="00C5527E" w:rsidP="00C5527E">
      <w:pPr>
        <w:bidi/>
        <w:rPr>
          <w:rFonts w:eastAsia="Times New Roman"/>
        </w:rPr>
      </w:pPr>
      <w:r w:rsidRPr="00C5527E">
        <w:rPr>
          <w:rFonts w:eastAsia="Times New Roman"/>
          <w:rtl/>
        </w:rPr>
        <w:t>• ISO/IEC 27001:2022 - نظم إدارة أمن المعلومات: المتطلبات (البنود 7.5 و8.1 و9.1 و9.2، والضابط A.5.37).</w:t>
      </w:r>
      <w:r w:rsidRPr="00C5527E">
        <w:rPr>
          <w:rFonts w:eastAsia="Times New Roman"/>
          <w:rtl/>
        </w:rPr>
        <w:br/>
        <w:t>• ISO/IEC 27002:2022 - ضوابط أمن المعلومات (إرشادات تنفيذ الضوابط المرجعية).</w:t>
      </w:r>
      <w:r w:rsidRPr="00C5527E">
        <w:rPr>
          <w:rFonts w:eastAsia="Times New Roman"/>
          <w:rtl/>
        </w:rPr>
        <w:br/>
        <w:t>• سياسة أمن المعلومات (ISMS-DOC-05-4) الإصدار 2.0 المعتمدة في 2026-02-15.</w:t>
      </w:r>
      <w:r w:rsidRPr="00C5527E">
        <w:rPr>
          <w:rFonts w:eastAsia="Times New Roman"/>
          <w:rtl/>
        </w:rPr>
        <w:br/>
        <w:t>• سياسة الاستخدام المقبول لأصول المعلومات (ISMS-DOC-A05-10-1) الإصدار 1.0.</w:t>
      </w:r>
      <w:r w:rsidRPr="00C5527E">
        <w:rPr>
          <w:rFonts w:eastAsia="Times New Roman"/>
          <w:rtl/>
        </w:rPr>
        <w:br/>
        <w:t>• منهجية تقييم ومعالجة المخاطر (RT-1) وبيان شهية المخاطر (RT-4).</w:t>
      </w:r>
      <w:r w:rsidRPr="00C5527E">
        <w:rPr>
          <w:rFonts w:eastAsia="Times New Roman"/>
          <w:rtl/>
        </w:rPr>
        <w:br/>
        <w:t>• أداة تقييم ومعالجة المخاطر القائمة على الأصول (ISMS-FORM-06-1) - سجل مخاطر 32 خطراً الإصدار 1.0.</w:t>
      </w:r>
      <w:r w:rsidRPr="00C5527E">
        <w:rPr>
          <w:rFonts w:eastAsia="Times New Roman"/>
          <w:rtl/>
        </w:rPr>
        <w:br/>
        <w:t>• بيان قابلية التطبيق (ISMS-FORM-06-2) والنموذج التشغيلي (SA-1) - 93 ضابطاً.</w:t>
      </w:r>
      <w:r w:rsidRPr="00C5527E">
        <w:rPr>
          <w:rFonts w:eastAsia="Times New Roman"/>
          <w:rtl/>
        </w:rPr>
        <w:br/>
        <w:t>• سجل جرد أصول المعلومات (ISMS-DOC-A05-9-2) - 48 أصلاً.</w:t>
      </w:r>
      <w:r w:rsidRPr="00C5527E">
        <w:rPr>
          <w:rFonts w:eastAsia="Times New Roman"/>
          <w:rtl/>
        </w:rPr>
        <w:br/>
        <w:t>• إجراء الاستجابة لحوادث أمن المعلومات (ISMS-DOC-A05-26-1).</w:t>
      </w:r>
      <w:r w:rsidRPr="00C5527E">
        <w:rPr>
          <w:rFonts w:eastAsia="Times New Roman"/>
          <w:rtl/>
        </w:rPr>
        <w:br/>
        <w:t>• خطة استمرارية الأعمال وخطة التعافي من الكوارث (G12).</w:t>
      </w:r>
      <w:r w:rsidRPr="00C5527E">
        <w:rPr>
          <w:rFonts w:eastAsia="Times New Roman"/>
          <w:rtl/>
        </w:rPr>
        <w:br/>
        <w:t>• خط الأساس للتكوينات الآمنة (R9) - الفئات SCB-001 إلى SCB-006.</w:t>
      </w:r>
      <w:r w:rsidRPr="00C5527E">
        <w:rPr>
          <w:rFonts w:eastAsia="Times New Roman"/>
          <w:rtl/>
        </w:rPr>
        <w:br/>
        <w:t>• تقرير التدقيق الداخلي (ISMS-DOC-09-5) وتقرير أداء نظام إدارة أمن المعلومات (ISMS-PERF-09-1).</w:t>
      </w:r>
      <w:r w:rsidRPr="00C5527E">
        <w:rPr>
          <w:rFonts w:eastAsia="Times New Roman"/>
          <w:rtl/>
        </w:rPr>
        <w:br/>
        <w:t>• تعليمات مؤسسة النقد «ساما» لأمن المعلومات في القطاع المالي، والضوابط الأساسية للأمن السيبراني من الهيئة الوطنية للأمن السيبراني، ونظام حماية البيانات الشخصية (سدايا)، ومعيار أمن بيانات بطاقات الدفع PCI DSS.</w:t>
      </w:r>
    </w:p>
    <w:p w14:paraId="601FECB0" w14:textId="77777777" w:rsidR="00585C51" w:rsidRDefault="00585C51" w:rsidP="00585C51"/>
    <w:sectPr w:rsidR="00585C51" w:rsidSect="00585C51">
      <w:headerReference w:type="first" r:id="rId8"/>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771C" w14:textId="77777777" w:rsidR="006228BE" w:rsidRDefault="006228BE">
      <w:pPr>
        <w:spacing w:after="0"/>
      </w:pPr>
      <w:r>
        <w:separator/>
      </w:r>
    </w:p>
  </w:endnote>
  <w:endnote w:type="continuationSeparator" w:id="0">
    <w:p w14:paraId="3EBBDAF1" w14:textId="77777777" w:rsidR="006228BE" w:rsidRDefault="00622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32F7" w14:textId="77777777" w:rsidR="006228BE" w:rsidRDefault="006228BE">
      <w:pPr>
        <w:spacing w:after="0"/>
      </w:pPr>
      <w:r>
        <w:separator/>
      </w:r>
    </w:p>
  </w:footnote>
  <w:footnote w:type="continuationSeparator" w:id="0">
    <w:p w14:paraId="55F9A44E" w14:textId="77777777" w:rsidR="006228BE" w:rsidRDefault="00622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FD65" w14:textId="69AA540E" w:rsidR="00A13DB3" w:rsidRDefault="00A13DB3" w:rsidP="00A13DB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FB7"/>
    <w:multiLevelType w:val="multilevel"/>
    <w:tmpl w:val="870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0FA"/>
    <w:multiLevelType w:val="multilevel"/>
    <w:tmpl w:val="3AA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7EA"/>
    <w:multiLevelType w:val="multilevel"/>
    <w:tmpl w:val="2BD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133D"/>
    <w:multiLevelType w:val="multilevel"/>
    <w:tmpl w:val="9C2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D52A6"/>
    <w:multiLevelType w:val="multilevel"/>
    <w:tmpl w:val="F4E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E2F59"/>
    <w:multiLevelType w:val="multilevel"/>
    <w:tmpl w:val="396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168"/>
    <w:multiLevelType w:val="multilevel"/>
    <w:tmpl w:val="886AED26"/>
    <w:lvl w:ilvl="0">
      <w:start w:val="1"/>
      <w:numFmt w:val="decimal"/>
      <w:lvlText w:val="%1."/>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1550C7"/>
    <w:multiLevelType w:val="multilevel"/>
    <w:tmpl w:val="55A0387E"/>
    <w:lvl w:ilvl="0">
      <w:start w:val="1"/>
      <w:numFmt w:val="bullet"/>
      <w:lvlText w:val="●"/>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A1F5F"/>
    <w:multiLevelType w:val="multilevel"/>
    <w:tmpl w:val="729C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955F7"/>
    <w:multiLevelType w:val="multilevel"/>
    <w:tmpl w:val="444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5124A"/>
    <w:multiLevelType w:val="multilevel"/>
    <w:tmpl w:val="ADC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262FD"/>
    <w:multiLevelType w:val="multilevel"/>
    <w:tmpl w:val="922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2435">
    <w:abstractNumId w:val="7"/>
  </w:num>
  <w:num w:numId="2" w16cid:durableId="1226449000">
    <w:abstractNumId w:val="6"/>
  </w:num>
  <w:num w:numId="3" w16cid:durableId="1156919116">
    <w:abstractNumId w:val="8"/>
  </w:num>
  <w:num w:numId="4" w16cid:durableId="1613199828">
    <w:abstractNumId w:val="4"/>
  </w:num>
  <w:num w:numId="5" w16cid:durableId="674039013">
    <w:abstractNumId w:val="0"/>
  </w:num>
  <w:num w:numId="6" w16cid:durableId="1278878377">
    <w:abstractNumId w:val="9"/>
  </w:num>
  <w:num w:numId="7" w16cid:durableId="2080053872">
    <w:abstractNumId w:val="10"/>
  </w:num>
  <w:num w:numId="8" w16cid:durableId="82385324">
    <w:abstractNumId w:val="11"/>
  </w:num>
  <w:num w:numId="9" w16cid:durableId="1765884305">
    <w:abstractNumId w:val="1"/>
  </w:num>
  <w:num w:numId="10" w16cid:durableId="803472333">
    <w:abstractNumId w:val="2"/>
  </w:num>
  <w:num w:numId="11" w16cid:durableId="1412005260">
    <w:abstractNumId w:val="3"/>
  </w:num>
  <w:num w:numId="12" w16cid:durableId="1174146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NjCwMLcwMLQwNzRX0lEKTi0uzszPAykwqgUApZ2hESwAAAA="/>
  </w:docVars>
  <w:rsids>
    <w:rsidRoot w:val="00B14648"/>
    <w:rsid w:val="00016368"/>
    <w:rsid w:val="0008023E"/>
    <w:rsid w:val="000916C2"/>
    <w:rsid w:val="000A73AA"/>
    <w:rsid w:val="001D4EA4"/>
    <w:rsid w:val="00277158"/>
    <w:rsid w:val="00292422"/>
    <w:rsid w:val="00336B8C"/>
    <w:rsid w:val="0035236A"/>
    <w:rsid w:val="003A63DF"/>
    <w:rsid w:val="004225DF"/>
    <w:rsid w:val="004A4633"/>
    <w:rsid w:val="004A6F7E"/>
    <w:rsid w:val="00523F90"/>
    <w:rsid w:val="0052717A"/>
    <w:rsid w:val="00585C51"/>
    <w:rsid w:val="00596C8A"/>
    <w:rsid w:val="005D43A4"/>
    <w:rsid w:val="005E6EE2"/>
    <w:rsid w:val="006228BE"/>
    <w:rsid w:val="00657616"/>
    <w:rsid w:val="00701C99"/>
    <w:rsid w:val="00732D89"/>
    <w:rsid w:val="007674DD"/>
    <w:rsid w:val="007B3571"/>
    <w:rsid w:val="007D4830"/>
    <w:rsid w:val="0084602A"/>
    <w:rsid w:val="00897F41"/>
    <w:rsid w:val="008B1CA6"/>
    <w:rsid w:val="008D5540"/>
    <w:rsid w:val="008F420C"/>
    <w:rsid w:val="00915237"/>
    <w:rsid w:val="009702D2"/>
    <w:rsid w:val="00993D14"/>
    <w:rsid w:val="00A13DB3"/>
    <w:rsid w:val="00B14648"/>
    <w:rsid w:val="00B35955"/>
    <w:rsid w:val="00B367C0"/>
    <w:rsid w:val="00BF41D8"/>
    <w:rsid w:val="00C5527E"/>
    <w:rsid w:val="00C66B10"/>
    <w:rsid w:val="00CF69E5"/>
    <w:rsid w:val="00D859A9"/>
    <w:rsid w:val="00DE6F3A"/>
    <w:rsid w:val="00FD1A9D"/>
    <w:rsid w:val="00FF39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E267C"/>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9A9"/>
  </w:style>
  <w:style w:type="paragraph" w:styleId="Heading1">
    <w:name w:val="heading 1"/>
    <w:basedOn w:val="Normal"/>
    <w:next w:val="Normal"/>
    <w:link w:val="Heading1Char"/>
    <w:uiPriority w:val="9"/>
    <w:qFormat/>
    <w:rsid w:val="00D859A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D859A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9A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9A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859A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859A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859A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859A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859A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59A9"/>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859A9"/>
    <w:pPr>
      <w:numPr>
        <w:ilvl w:val="1"/>
      </w:numPr>
      <w:spacing w:after="240" w:line="240" w:lineRule="auto"/>
    </w:pPr>
    <w:rPr>
      <w:rFonts w:asciiTheme="majorHAnsi" w:eastAsiaTheme="majorEastAsia" w:hAnsiTheme="majorHAnsi" w:cstheme="majorBidi"/>
      <w:color w:val="156082" w:themeColor="accent1"/>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6B10"/>
    <w:pPr>
      <w:tabs>
        <w:tab w:val="center" w:pos="4513"/>
        <w:tab w:val="right" w:pos="9026"/>
      </w:tabs>
      <w:spacing w:after="0"/>
    </w:pPr>
  </w:style>
  <w:style w:type="character" w:customStyle="1" w:styleId="HeaderChar">
    <w:name w:val="Header Char"/>
    <w:basedOn w:val="DefaultParagraphFont"/>
    <w:link w:val="Header"/>
    <w:uiPriority w:val="99"/>
    <w:rsid w:val="00C66B10"/>
  </w:style>
  <w:style w:type="paragraph" w:styleId="Footer">
    <w:name w:val="footer"/>
    <w:basedOn w:val="Normal"/>
    <w:link w:val="FooterChar"/>
    <w:uiPriority w:val="99"/>
    <w:unhideWhenUsed/>
    <w:rsid w:val="00C66B10"/>
    <w:pPr>
      <w:tabs>
        <w:tab w:val="center" w:pos="4513"/>
        <w:tab w:val="right" w:pos="9026"/>
      </w:tabs>
      <w:spacing w:after="0"/>
    </w:pPr>
  </w:style>
  <w:style w:type="character" w:customStyle="1" w:styleId="FooterChar">
    <w:name w:val="Footer Char"/>
    <w:basedOn w:val="DefaultParagraphFont"/>
    <w:link w:val="Footer"/>
    <w:uiPriority w:val="99"/>
    <w:rsid w:val="00C66B10"/>
  </w:style>
  <w:style w:type="character" w:customStyle="1" w:styleId="Heading1Char">
    <w:name w:val="Heading 1 Char"/>
    <w:basedOn w:val="DefaultParagraphFont"/>
    <w:link w:val="Heading1"/>
    <w:uiPriority w:val="9"/>
    <w:rsid w:val="00D859A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D85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9A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9A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859A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859A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859A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859A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859A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D859A9"/>
    <w:pPr>
      <w:spacing w:line="240" w:lineRule="auto"/>
    </w:pPr>
    <w:rPr>
      <w:b/>
      <w:bCs/>
      <w:smallCaps/>
      <w:color w:val="0E2841" w:themeColor="text2"/>
    </w:rPr>
  </w:style>
  <w:style w:type="character" w:customStyle="1" w:styleId="TitleChar">
    <w:name w:val="Title Char"/>
    <w:basedOn w:val="DefaultParagraphFont"/>
    <w:link w:val="Title"/>
    <w:uiPriority w:val="10"/>
    <w:rsid w:val="00D859A9"/>
    <w:rPr>
      <w:rFonts w:asciiTheme="majorHAnsi" w:eastAsiaTheme="majorEastAsia" w:hAnsiTheme="majorHAnsi" w:cstheme="majorBidi"/>
      <w:caps/>
      <w:color w:val="0E2841" w:themeColor="text2"/>
      <w:spacing w:val="-15"/>
      <w:sz w:val="72"/>
      <w:szCs w:val="72"/>
    </w:rPr>
  </w:style>
  <w:style w:type="character" w:customStyle="1" w:styleId="SubtitleChar">
    <w:name w:val="Subtitle Char"/>
    <w:basedOn w:val="DefaultParagraphFont"/>
    <w:link w:val="Subtitle"/>
    <w:uiPriority w:val="11"/>
    <w:rsid w:val="00D859A9"/>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D859A9"/>
    <w:rPr>
      <w:b/>
      <w:bCs/>
    </w:rPr>
  </w:style>
  <w:style w:type="character" w:styleId="Emphasis">
    <w:name w:val="Emphasis"/>
    <w:basedOn w:val="DefaultParagraphFont"/>
    <w:uiPriority w:val="20"/>
    <w:qFormat/>
    <w:rsid w:val="00D859A9"/>
    <w:rPr>
      <w:i/>
      <w:iCs/>
    </w:rPr>
  </w:style>
  <w:style w:type="paragraph" w:styleId="NoSpacing">
    <w:name w:val="No Spacing"/>
    <w:uiPriority w:val="1"/>
    <w:qFormat/>
    <w:rsid w:val="00D859A9"/>
    <w:pPr>
      <w:spacing w:after="0" w:line="240" w:lineRule="auto"/>
    </w:pPr>
  </w:style>
  <w:style w:type="paragraph" w:styleId="Quote">
    <w:name w:val="Quote"/>
    <w:basedOn w:val="Normal"/>
    <w:next w:val="Normal"/>
    <w:link w:val="QuoteChar"/>
    <w:uiPriority w:val="29"/>
    <w:qFormat/>
    <w:rsid w:val="00D859A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859A9"/>
    <w:rPr>
      <w:color w:val="0E2841" w:themeColor="text2"/>
      <w:sz w:val="24"/>
      <w:szCs w:val="24"/>
    </w:rPr>
  </w:style>
  <w:style w:type="paragraph" w:styleId="IntenseQuote">
    <w:name w:val="Intense Quote"/>
    <w:basedOn w:val="Normal"/>
    <w:next w:val="Normal"/>
    <w:link w:val="IntenseQuoteChar"/>
    <w:uiPriority w:val="30"/>
    <w:qFormat/>
    <w:rsid w:val="00D859A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859A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D859A9"/>
    <w:rPr>
      <w:i/>
      <w:iCs/>
      <w:color w:val="595959" w:themeColor="text1" w:themeTint="A6"/>
    </w:rPr>
  </w:style>
  <w:style w:type="character" w:styleId="IntenseEmphasis">
    <w:name w:val="Intense Emphasis"/>
    <w:basedOn w:val="DefaultParagraphFont"/>
    <w:uiPriority w:val="21"/>
    <w:qFormat/>
    <w:rsid w:val="00D859A9"/>
    <w:rPr>
      <w:b/>
      <w:bCs/>
      <w:i/>
      <w:iCs/>
    </w:rPr>
  </w:style>
  <w:style w:type="character" w:styleId="SubtleReference">
    <w:name w:val="Subtle Reference"/>
    <w:basedOn w:val="DefaultParagraphFont"/>
    <w:uiPriority w:val="31"/>
    <w:qFormat/>
    <w:rsid w:val="00D859A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859A9"/>
    <w:rPr>
      <w:b/>
      <w:bCs/>
      <w:smallCaps/>
      <w:color w:val="0E2841" w:themeColor="text2"/>
      <w:u w:val="single"/>
    </w:rPr>
  </w:style>
  <w:style w:type="character" w:styleId="BookTitle">
    <w:name w:val="Book Title"/>
    <w:basedOn w:val="DefaultParagraphFont"/>
    <w:uiPriority w:val="33"/>
    <w:qFormat/>
    <w:rsid w:val="00D859A9"/>
    <w:rPr>
      <w:b/>
      <w:bCs/>
      <w:smallCaps/>
      <w:spacing w:val="10"/>
    </w:rPr>
  </w:style>
  <w:style w:type="paragraph" w:styleId="TOCHeading">
    <w:name w:val="TOC Heading"/>
    <w:basedOn w:val="Heading1"/>
    <w:next w:val="Normal"/>
    <w:uiPriority w:val="39"/>
    <w:semiHidden/>
    <w:unhideWhenUsed/>
    <w:qFormat/>
    <w:rsid w:val="00D859A9"/>
    <w:pPr>
      <w:outlineLvl w:val="9"/>
    </w:pPr>
  </w:style>
  <w:style w:type="paragraph" w:styleId="NormalWeb">
    <w:name w:val="Normal (Web)"/>
    <w:basedOn w:val="Normal"/>
    <w:uiPriority w:val="99"/>
    <w:semiHidden/>
    <w:unhideWhenUsed/>
    <w:rsid w:val="00C552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A73AA"/>
    <w:pPr>
      <w:ind w:left="720"/>
      <w:contextualSpacing/>
    </w:pPr>
  </w:style>
  <w:style w:type="table" w:styleId="GridTable4-Accent4">
    <w:name w:val="Grid Table 4 Accent 4"/>
    <w:basedOn w:val="TableNormal"/>
    <w:uiPriority w:val="49"/>
    <w:rsid w:val="00B35955"/>
    <w:pPr>
      <w:spacing w:after="0" w:line="240" w:lineRule="auto"/>
    </w:pPr>
    <w:rPr>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523">
      <w:bodyDiv w:val="1"/>
      <w:marLeft w:val="0"/>
      <w:marRight w:val="0"/>
      <w:marTop w:val="0"/>
      <w:marBottom w:val="0"/>
      <w:divBdr>
        <w:top w:val="none" w:sz="0" w:space="0" w:color="auto"/>
        <w:left w:val="none" w:sz="0" w:space="0" w:color="auto"/>
        <w:bottom w:val="none" w:sz="0" w:space="0" w:color="auto"/>
        <w:right w:val="none" w:sz="0" w:space="0" w:color="auto"/>
      </w:divBdr>
    </w:div>
    <w:div w:id="63576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vDltgZYJNsLR/U35OwwvusYJg==">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2821</Words>
  <Characters>16085</Characters>
  <Application>Microsoft Office Word</Application>
  <DocSecurity>0</DocSecurity>
  <Lines>134</Lines>
  <Paragraphs>37</Paragraphs>
  <ScaleCrop>false</ScaleCrop>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إجراءات التشغيل الآمن لإدارة تقنية المعلومات (M8) - بنك الآفاق الرقمية</dc:title>
  <dc:subject>ISO/IEC 27001:2022 الضابط A.5.37 - 6 إجراءات تشغيلية (SOP-IT-001 إلى SOP-IT-006)</dc:subject>
  <dc:creator>بنك الآفاق الرقمية - إدارة أمن المعلومات</dc:creator>
  <cp:keywords>ISMS, SOP, Secure Operations, ISO 27001 A.5.37, بنك الآفاق الرقمية</cp:keywords>
  <dc:description/>
  <cp:lastModifiedBy>AMR KHALID AL-MOSABI</cp:lastModifiedBy>
  <cp:revision>22</cp:revision>
  <dcterms:created xsi:type="dcterms:W3CDTF">2024-06-07T10:37:00Z</dcterms:created>
  <dcterms:modified xsi:type="dcterms:W3CDTF">2026-09-13T07:39:00Z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2bf4aaa2e79538540a3c20cf1956d687c0a0a87b4f909ee596219d22f1afa31d</vt:lpwstr>
  </property>
</Properties>
</file>