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56"/>
          <w:szCs w:val="56"/>
        </w:rPr>
        <w:t xml:space="preserve">PAROHIA ERP</w:t>
      </w:r>
    </w:p>
    <w:p>
      <w:pPr>
        <w:spacing w:after="200"/>
        <w:jc w:val="center"/>
      </w:pPr>
      <w:r>
        <w:rPr>
          <w:color w:val="B8860B"/>
          <w:sz w:val="32"/>
          <w:szCs w:val="32"/>
        </w:rPr>
        <w:t xml:space="preserve">Manual de utilizare</w:t>
      </w:r>
    </w:p>
    <w:p>
      <w:pPr>
        <w:spacing w:after="3600"/>
        <w:jc w:val="center"/>
      </w:pPr>
      <w:r>
        <w:rPr>
          <w:i/>
          <w:iCs/>
          <w:color w:val="57534E"/>
          <w:sz w:val="22"/>
          <w:szCs w:val="22"/>
        </w:rPr>
        <w:t xml:space="preserve">Aplicație de evidență contabilă și administrativă pentru parohii — partidă simplă</w:t>
      </w:r>
    </w:p>
    <w:p>
      <w:pPr>
        <w:jc w:val="center"/>
      </w:pPr>
      <w:r>
        <w:rPr>
          <w:color w:val="78716C"/>
          <w:sz w:val="18"/>
          <w:szCs w:val="18"/>
        </w:rPr>
        <w:t xml:space="preserve">Document valabil pentru versiunea aplicației la data redactării — verificați periodic dacă există o versiune mai nouă a manualului.</w:t>
      </w:r>
    </w:p>
    <w:p>
      <w:r>
        <w:br w:type="page"/>
      </w:r>
    </w:p>
    <w:p>
      <w:pPr>
        <w:pStyle w:val="Heading1"/>
        <w:spacing w:after="200" w:before="0"/>
      </w:pPr>
      <w:r>
        <w:t xml:space="preserve">Cuprins</w:t>
      </w:r>
    </w:p>
    <w:sdt>
      <w:sdtPr>
        <w:alias w:val="Cuprin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Introducere</w:t>
      </w:r>
    </w:p>
    <w:p>
      <w:pPr>
        <w:spacing w:after="160"/>
      </w:pPr>
      <w:r>
        <w:t xml:space="preserve">Parohia ERP este o aplicație de evidență contabilă și administrativă pentru parohii, care ține contabilitatea în partidă simplă (potrivit reglementărilor pentru unitățile de cult din România) și, pe lângă partea financiară, administrează pangarul, consumul intern, inventarul de patrimoniu, cimitirul, corespondența și arhiva, precum și organismele parohiale (Adunarea, Consiliul și Comitetul parohial).</w:t>
      </w:r>
    </w:p>
    <w:p>
      <w:pPr>
        <w:spacing w:after="160"/>
      </w:pPr>
      <w:r>
        <w:t xml:space="preserve">Aplicația rulează în browser, la adresa alocată parohiei (de exemplu, o adresă de tipul „parohie-erp.vercel.app”), și nu necesită instalare pe calculator.</w:t>
      </w:r>
    </w:p>
    <w:p>
      <w:pPr>
        <w:pStyle w:val="Heading2"/>
        <w:spacing w:after="150" w:before="300"/>
      </w:pPr>
      <w:r>
        <w:t xml:space="preserve">1.1. Cum este organizat acest manual</w:t>
      </w:r>
    </w:p>
    <w:p>
      <w:pPr>
        <w:spacing w:after="160"/>
      </w:pPr>
      <w:r>
        <w:t xml:space="preserve">Manualul urmează exact structura meniului din aplicație. Fiecare capitol corespunde unui modul din bara de navigare de sus:</w:t>
      </w:r>
    </w:p>
    <w:p>
      <w:pPr>
        <w:pStyle w:val="ListParagraph"/>
        <w:numPr>
          <w:ilvl w:val="0"/>
          <w:numId w:val="2"/>
        </w:numPr>
        <w:spacing w:after="80"/>
      </w:pPr>
      <w:r>
        <w:t xml:space="preserve">Tablou de bord</w:t>
      </w:r>
    </w:p>
    <w:p>
      <w:pPr>
        <w:pStyle w:val="ListParagraph"/>
        <w:numPr>
          <w:ilvl w:val="0"/>
          <w:numId w:val="2"/>
        </w:numPr>
        <w:spacing w:after="80"/>
      </w:pPr>
      <w:r>
        <w:t xml:space="preserve">Registru Jurnal (Chitanțe, Ordine de plată, Transferuri interne, Reconciliere bancară)</w:t>
      </w:r>
    </w:p>
    <w:p>
      <w:pPr>
        <w:pStyle w:val="ListParagraph"/>
        <w:numPr>
          <w:ilvl w:val="0"/>
          <w:numId w:val="2"/>
        </w:numPr>
        <w:spacing w:after="80"/>
      </w:pPr>
      <w:r>
        <w:t xml:space="preserve">Pangar (intrări, vânzări, stocuri, nomenclator)</w:t>
      </w:r>
    </w:p>
    <w:p>
      <w:pPr>
        <w:pStyle w:val="ListParagraph"/>
        <w:numPr>
          <w:ilvl w:val="0"/>
          <w:numId w:val="2"/>
        </w:numPr>
        <w:spacing w:after="80"/>
      </w:pPr>
      <w:r>
        <w:t xml:space="preserve">Consum intern &amp; Filantropie</w:t>
      </w:r>
    </w:p>
    <w:p>
      <w:pPr>
        <w:pStyle w:val="ListParagraph"/>
        <w:numPr>
          <w:ilvl w:val="0"/>
          <w:numId w:val="2"/>
        </w:numPr>
        <w:spacing w:after="80"/>
      </w:pPr>
      <w:r>
        <w:t xml:space="preserve">Inventar (patrimoniu)</w:t>
      </w:r>
    </w:p>
    <w:p>
      <w:pPr>
        <w:pStyle w:val="ListParagraph"/>
        <w:numPr>
          <w:ilvl w:val="0"/>
          <w:numId w:val="2"/>
        </w:numPr>
        <w:spacing w:after="80"/>
      </w:pPr>
      <w:r>
        <w:t xml:space="preserve">Cimitir</w:t>
      </w:r>
    </w:p>
    <w:p>
      <w:pPr>
        <w:pStyle w:val="ListParagraph"/>
        <w:numPr>
          <w:ilvl w:val="0"/>
          <w:numId w:val="2"/>
        </w:numPr>
        <w:spacing w:after="80"/>
      </w:pPr>
      <w:r>
        <w:t xml:space="preserve">Corespondență &amp; Arhivă</w:t>
      </w:r>
    </w:p>
    <w:p>
      <w:pPr>
        <w:pStyle w:val="ListParagraph"/>
        <w:numPr>
          <w:ilvl w:val="0"/>
          <w:numId w:val="2"/>
        </w:numPr>
        <w:spacing w:after="80"/>
      </w:pPr>
      <w:r>
        <w:t xml:space="preserve">Organisme parohiale</w:t>
      </w:r>
    </w:p>
    <w:p>
      <w:pPr>
        <w:pStyle w:val="ListParagraph"/>
        <w:numPr>
          <w:ilvl w:val="0"/>
          <w:numId w:val="2"/>
        </w:numPr>
        <w:spacing w:after="80"/>
      </w:pPr>
      <w:r>
        <w:t xml:space="preserve">Rapoarte</w:t>
      </w:r>
    </w:p>
    <w:p>
      <w:pPr>
        <w:pStyle w:val="ListParagraph"/>
        <w:numPr>
          <w:ilvl w:val="0"/>
          <w:numId w:val="2"/>
        </w:numPr>
        <w:spacing w:after="80"/>
      </w:pPr>
      <w:r>
        <w:t xml:space="preserve">Import date</w:t>
      </w:r>
    </w:p>
    <w:p>
      <w:pPr>
        <w:pStyle w:val="ListParagraph"/>
        <w:numPr>
          <w:ilvl w:val="0"/>
          <w:numId w:val="2"/>
        </w:numPr>
        <w:spacing w:after="80"/>
      </w:pPr>
      <w:r>
        <w:t xml:space="preserve">Setări (Date parohie, Securitate, Jurnal de audit)</w:t>
      </w:r>
    </w:p>
    <w:p>
      <w:pPr>
        <w:pBdr>
          <w:left w:val="single" w:color="B8860B" w:sz="18" w:space="8"/>
        </w:pBdr>
        <w:spacing w:after="200" w:before="100"/>
        <w:ind w:left="200"/>
      </w:pPr>
      <w:r>
        <w:rPr>
          <w:b/>
          <w:bCs/>
          <w:color w:val="B8860B"/>
        </w:rPr>
        <w:t xml:space="preserve">Notă: </w:t>
      </w:r>
      <w:r>
        <w:t xml:space="preserve">Meniul afișat variază după rolul contului cu care sunteți autentificat — unele module nu apar deloc pentru anumite roluri. Vezi capitolul 3, „Roluri și permisiuni”, pentru tabelul complet.</w:t>
      </w:r>
    </w:p>
    <w:p>
      <w:r>
        <w:br w:type="page"/>
      </w:r>
    </w:p>
    <w:p>
      <w:pPr>
        <w:pStyle w:val="Heading1"/>
        <w:spacing w:after="200" w:before="400"/>
      </w:pPr>
      <w:r>
        <w:t xml:space="preserve">2. Autentificare și securitate</w:t>
      </w:r>
    </w:p>
    <w:p>
      <w:pPr>
        <w:pStyle w:val="Heading2"/>
        <w:spacing w:after="150" w:before="300"/>
      </w:pPr>
      <w:r>
        <w:t xml:space="preserve">2.1. Prima accesare — identificarea parohiei</w:t>
      </w:r>
    </w:p>
    <w:p>
      <w:pPr>
        <w:spacing w:after="160"/>
      </w:pPr>
      <w:r>
        <w:t xml:space="preserve">La prima deschidere a aplicației, ecranul cere codul fiscal (CIF) al parohiei:</w:t>
      </w:r>
    </w:p>
    <w:p>
      <w:pPr>
        <w:pStyle w:val="ListParagraph"/>
        <w:numPr>
          <w:ilvl w:val="0"/>
          <w:numId w:val="3"/>
        </w:numPr>
        <w:spacing w:after="80"/>
      </w:pPr>
      <w:r>
        <w:t xml:space="preserve">Introduceți CIF-ul parohiei și continuați.</w:t>
      </w:r>
    </w:p>
    <w:p>
      <w:pPr>
        <w:pStyle w:val="ListParagraph"/>
        <w:numPr>
          <w:ilvl w:val="0"/>
          <w:numId w:val="3"/>
        </w:numPr>
        <w:spacing w:after="80"/>
      </w:pPr>
      <w:r>
        <w:t xml:space="preserve">Dacă acest CIF nu există încă în sistem, aplicația trece automat la ecranul „Parohie nouă — creați contul de Administrator”, unde completați denumirea parohiei, un nume de utilizator, o parolă și un e-mail de recuperare (obligatoriu pentru contul de Administrator, folosit dacă pierdeți parola).</w:t>
      </w:r>
    </w:p>
    <w:p>
      <w:pPr>
        <w:pStyle w:val="ListParagraph"/>
        <w:numPr>
          <w:ilvl w:val="0"/>
          <w:numId w:val="3"/>
        </w:numPr>
        <w:spacing w:after="80"/>
      </w:pPr>
      <w:r>
        <w:t xml:space="preserve">Dacă CIF-ul există deja, aplicația trece la ecranul de autentificare obișnuită (nume de utilizator + parolă).</w:t>
      </w:r>
    </w:p>
    <w:p>
      <w:pPr>
        <w:pBdr>
          <w:left w:val="single" w:color="B8860B" w:sz="18" w:space="8"/>
        </w:pBdr>
        <w:spacing w:after="200" w:before="100"/>
        <w:ind w:left="200"/>
      </w:pPr>
      <w:r>
        <w:rPr>
          <w:b/>
          <w:bCs/>
          <w:color w:val="B8860B"/>
        </w:rPr>
        <w:t xml:space="preserve">Notă: </w:t>
      </w:r>
      <w:r>
        <w:t xml:space="preserve">Fiecare parohie este complet izolată de celelalte — CIF-ul este cheia de identificare a bazei de date proprii.</w:t>
      </w:r>
    </w:p>
    <w:p>
      <w:pPr>
        <w:pStyle w:val="Heading2"/>
        <w:spacing w:after="150" w:before="300"/>
      </w:pPr>
      <w:r>
        <w:t xml:space="preserve">2.2. Autentificare obișnuită</w:t>
      </w:r>
    </w:p>
    <w:p>
      <w:pPr>
        <w:spacing w:after="160"/>
      </w:pPr>
      <w:r>
        <w:t xml:space="preserve">După identificarea parohiei (CIF), introduceți numele de utilizator și parola contului dumneavoastră.</w:t>
      </w:r>
    </w:p>
    <w:p>
      <w:pPr>
        <w:spacing w:after="160"/>
      </w:pPr>
      <w:r>
        <w:t xml:space="preserve">Dacă acest cont are activată autenticarea în doi pași (2FA), aplicația va cere suplimentar:</w:t>
      </w:r>
    </w:p>
    <w:p>
      <w:pPr>
        <w:pStyle w:val="ListParagraph"/>
        <w:numPr>
          <w:ilvl w:val="0"/>
          <w:numId w:val="2"/>
        </w:numPr>
        <w:spacing w:after="80"/>
      </w:pPr>
      <w:r>
        <w:t xml:space="preserve">un cod de 6 cifre generat de o aplicație de autentificare (ex. Google Authenticator, Authy) instalată la activarea 2FA; sau</w:t>
      </w:r>
    </w:p>
    <w:p>
      <w:pPr>
        <w:pStyle w:val="ListParagraph"/>
        <w:numPr>
          <w:ilvl w:val="0"/>
          <w:numId w:val="2"/>
        </w:numPr>
        <w:spacing w:after="80"/>
      </w:pPr>
      <w:r>
        <w:t xml:space="preserve">un cod de recuperare tipărit, dacă nu mai aveți acces la aplicația de autentificare.</w:t>
      </w:r>
    </w:p>
    <w:p>
      <w:pPr>
        <w:pStyle w:val="Heading2"/>
        <w:spacing w:after="150" w:before="300"/>
      </w:pPr>
      <w:r>
        <w:t xml:space="preserve">2.3. Securitate — autentificarea în doi pași (2FA)</w:t>
      </w:r>
    </w:p>
    <w:p>
      <w:pPr>
        <w:spacing w:after="160"/>
      </w:pPr>
      <w:r>
        <w:t xml:space="preserve">Din meniul „Setări” → „Securitate” puteți activa, dezactiva sau reconfigura 2FA pentru propriul cont.</w:t>
      </w:r>
    </w:p>
    <w:p>
      <w:pPr>
        <w:pBdr>
          <w:left w:val="single" w:color="B91C1C" w:sz="18" w:space="8"/>
        </w:pBdr>
        <w:spacing w:after="200" w:before="100"/>
        <w:ind w:left="200"/>
      </w:pPr>
      <w:r>
        <w:rPr>
          <w:b/>
          <w:bCs/>
          <w:color w:val="B91C1C"/>
        </w:rPr>
        <w:t xml:space="preserve">Atenție: </w:t>
      </w:r>
      <w:r>
        <w:t xml:space="preserve">Se recomandă activarea 2FA pentru orice cont cu drept de emitere de Ordine de plată sau acces la datele financiare ale parohiei.</w:t>
      </w:r>
    </w:p>
    <w:p>
      <w:pPr>
        <w:pStyle w:val="Heading2"/>
        <w:spacing w:after="150" w:before="300"/>
      </w:pPr>
      <w:r>
        <w:t xml:space="preserve">2.4. Schimbarea parolei</w:t>
      </w:r>
    </w:p>
    <w:p>
      <w:pPr>
        <w:spacing w:after="160"/>
      </w:pPr>
      <w:r>
        <w:t xml:space="preserve">Din „Setări” → „Schimbă parola” puteți seta o parolă nouă pentru contul curent, oricând, fără să fie nevoie de intervenția Administratorului.</w:t>
      </w:r>
    </w:p>
    <w:p>
      <w:pPr>
        <w:pStyle w:val="Heading2"/>
        <w:spacing w:after="150" w:before="300"/>
      </w:pPr>
      <w:r>
        <w:t xml:space="preserve">2.5. Deblocare 2FA utilizatori (doar rol Administrator)</w:t>
      </w:r>
    </w:p>
    <w:p>
      <w:pPr>
        <w:spacing w:after="160"/>
      </w:pPr>
      <w:r>
        <w:t xml:space="preserve">Dacă un utilizator din parohie (contabil, casier, responsabil pangar etc.) își pierde accesul la aplicația de autentificare 2FA și nu mai are codul de recuperare, contul de Preot paroh / Administrator parohie poate reseta 2FA-ul acelui utilizator din „Setări” → „Deblocare 2FA utilizatori”, permițându-i să se autentifice din nou cu numele de utilizator și parola, și să-și reconfigureze 2FA de la zero.</w:t>
      </w:r>
    </w:p>
    <w:p>
      <w:pPr>
        <w:pStyle w:val="Heading2"/>
        <w:spacing w:after="150" w:before="300"/>
      </w:pPr>
      <w:r>
        <w:t xml:space="preserve">2.6. Jurnal de audit</w:t>
      </w:r>
    </w:p>
    <w:p>
      <w:pPr>
        <w:spacing w:after="160"/>
      </w:pPr>
      <w:r>
        <w:t xml:space="preserve">„Setări” → „Jurnal de audit” afișează istoricul acțiunilor efectuate în cont — cine, ce operațiune a făcut și când. Util pentru trasabilitate și pentru verificările de audit financiar-contabil.</w:t>
      </w:r>
    </w:p>
    <w:p>
      <w:pPr>
        <w:pStyle w:val="Heading2"/>
        <w:spacing w:after="150" w:before="300"/>
      </w:pPr>
      <w:r>
        <w:t xml:space="preserve">2.7. Date parohie</w:t>
      </w:r>
    </w:p>
    <w:p>
      <w:pPr>
        <w:spacing w:after="160"/>
      </w:pPr>
      <w:r>
        <w:t xml:space="preserve">„Setări” → „Date parohie” conține datele complete de identificare ale unității de cult, folosite pe toate rapoartele generate de aplicație. Accesibil doar contului de Preot paroh / Administrator parohie.</w:t>
      </w:r>
    </w:p>
    <w:p>
      <w:pPr>
        <w:spacing w:after="160"/>
      </w:pPr>
      <w:r>
        <w:rPr>
          <w:b/>
          <w:bCs/>
        </w:rPr>
        <w:t xml:space="preserve">Date de identificare:</w:t>
      </w:r>
    </w:p>
    <w:p>
      <w:pPr>
        <w:pStyle w:val="ListParagraph"/>
        <w:numPr>
          <w:ilvl w:val="0"/>
          <w:numId w:val="2"/>
        </w:numPr>
        <w:spacing w:after="80"/>
      </w:pPr>
      <w:r>
        <w:t xml:space="preserve">Denumire completă a parohiei</w:t>
      </w:r>
    </w:p>
    <w:p>
      <w:pPr>
        <w:pStyle w:val="ListParagraph"/>
        <w:numPr>
          <w:ilvl w:val="0"/>
          <w:numId w:val="2"/>
        </w:numPr>
        <w:spacing w:after="80"/>
      </w:pPr>
      <w:r>
        <w:t xml:space="preserve">Eparhia și Protoieria</w:t>
      </w:r>
    </w:p>
    <w:p>
      <w:pPr>
        <w:pStyle w:val="ListParagraph"/>
        <w:numPr>
          <w:ilvl w:val="0"/>
          <w:numId w:val="2"/>
        </w:numPr>
        <w:spacing w:after="80"/>
      </w:pPr>
      <w:r>
        <w:t xml:space="preserve">Hramul parohiei</w:t>
      </w:r>
    </w:p>
    <w:p>
      <w:pPr>
        <w:pStyle w:val="ListParagraph"/>
        <w:numPr>
          <w:ilvl w:val="0"/>
          <w:numId w:val="2"/>
        </w:numPr>
        <w:spacing w:after="80"/>
      </w:pPr>
      <w:r>
        <w:t xml:space="preserve">Cod fiscal (CIF)</w:t>
      </w:r>
    </w:p>
    <w:p>
      <w:pPr>
        <w:pStyle w:val="ListParagraph"/>
        <w:numPr>
          <w:ilvl w:val="0"/>
          <w:numId w:val="2"/>
        </w:numPr>
        <w:spacing w:after="80"/>
      </w:pPr>
      <w:r>
        <w:t xml:space="preserve">Numărul din Registrul ANAF al entităților/unităților de cult</w:t>
      </w:r>
    </w:p>
    <w:p>
      <w:pPr>
        <w:pStyle w:val="ListParagraph"/>
        <w:numPr>
          <w:ilvl w:val="0"/>
          <w:numId w:val="2"/>
        </w:numPr>
        <w:spacing w:after="80"/>
      </w:pPr>
      <w:r>
        <w:t xml:space="preserve">Cod LMI (dacă lăcașul este monument istoric)</w:t>
      </w:r>
    </w:p>
    <w:p>
      <w:pPr>
        <w:spacing w:after="160"/>
      </w:pPr>
      <w:r>
        <w:rPr>
          <w:b/>
          <w:bCs/>
        </w:rPr>
        <w:t xml:space="preserve">Adresă și contact:</w:t>
      </w:r>
    </w:p>
    <w:p>
      <w:pPr>
        <w:pStyle w:val="ListParagraph"/>
        <w:numPr>
          <w:ilvl w:val="0"/>
          <w:numId w:val="2"/>
        </w:numPr>
        <w:spacing w:after="80"/>
      </w:pPr>
      <w:r>
        <w:t xml:space="preserve">Județ, Localitate, Stradă și număr, Cod poștal</w:t>
      </w:r>
    </w:p>
    <w:p>
      <w:pPr>
        <w:pStyle w:val="ListParagraph"/>
        <w:numPr>
          <w:ilvl w:val="0"/>
          <w:numId w:val="2"/>
        </w:numPr>
        <w:spacing w:after="80"/>
      </w:pPr>
      <w:r>
        <w:t xml:space="preserve">Telefon și e-mail ale parohiei</w:t>
      </w:r>
    </w:p>
    <w:p>
      <w:pPr>
        <w:pStyle w:val="ListParagraph"/>
        <w:numPr>
          <w:ilvl w:val="0"/>
          <w:numId w:val="2"/>
        </w:numPr>
        <w:spacing w:after="80"/>
      </w:pPr>
      <w:r>
        <w:t xml:space="preserve">Nume și prenume, telefon, e-mail — preotul paroh</w:t>
      </w:r>
    </w:p>
    <w:p>
      <w:pPr>
        <w:spacing w:after="160"/>
      </w:pPr>
      <w:r>
        <w:rPr>
          <w:b/>
          <w:bCs/>
        </w:rPr>
        <w:t xml:space="preserve">Date bancare:</w:t>
      </w:r>
    </w:p>
    <w:p>
      <w:pPr>
        <w:pStyle w:val="ListParagraph"/>
        <w:numPr>
          <w:ilvl w:val="0"/>
          <w:numId w:val="2"/>
        </w:numPr>
        <w:spacing w:after="80"/>
      </w:pPr>
      <w:r>
        <w:t xml:space="preserve">Bancă</w:t>
      </w:r>
    </w:p>
    <w:p>
      <w:pPr>
        <w:pStyle w:val="ListParagraph"/>
        <w:numPr>
          <w:ilvl w:val="0"/>
          <w:numId w:val="2"/>
        </w:numPr>
        <w:spacing w:after="80"/>
      </w:pPr>
      <w:r>
        <w:t xml:space="preserve">IBAN</w:t>
      </w:r>
    </w:p>
    <w:p>
      <w:pPr>
        <w:spacing w:after="160"/>
      </w:pPr>
      <w:r>
        <w:t xml:space="preserve">Opțional: data înființării/atestării parohiei.</w:t>
      </w:r>
    </w:p>
    <w:p>
      <w:pPr>
        <w:spacing w:after="160"/>
      </w:pPr>
      <w:r>
        <w:t xml:space="preserve">Dacă parohia administrează un cimitir, se bifează acest lucru aici, ceea ce activează modulul „Cimitir” în meniu și afișează un set separat de câmpuri de adresă pentru cimitir (Județ, Localitate, Stradă și număr, Cod poștal), distincte de adresa lăcașului.</w:t>
      </w:r>
    </w:p>
    <w:p>
      <w:r>
        <w:br w:type="page"/>
      </w:r>
    </w:p>
    <w:p>
      <w:pPr>
        <w:pStyle w:val="Heading1"/>
        <w:spacing w:after="200" w:before="400"/>
      </w:pPr>
      <w:r>
        <w:t xml:space="preserve">3. Roluri și permisiuni</w:t>
      </w:r>
    </w:p>
    <w:p>
      <w:pPr>
        <w:spacing w:after="200"/>
      </w:pPr>
      <w:r>
        <w:rPr>
          <w:i/>
          <w:iCs/>
          <w:color w:val="57534E"/>
        </w:rPr>
        <w:t xml:space="preserve">Fiecare cont de utilizator are atribuit unul dintre următoarele cinci roluri, care determină ce module vede și ce poate face în aplicație.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1150"/>
        <w:gridCol w:w="1300"/>
      </w:tblGrid>
      <w:tr>
        <w:trPr>
          <w:tblHeader/>
        </w:trPr>
        <w:tc>
          <w:tcPr>
            <w:tcW w:type="dxa" w:w="3300"/>
            <w:shd w:fill="1F3864" w:val="clear"/>
            <w:tcMar>
              <w:top w:type="dxa" w:w="80"/>
              <w:left w:type="dxa" w:w="120"/>
              <w:bottom w:type="dxa" w:w="80"/>
              <w:right w:type="dxa" w:w="120"/>
            </w:tcMar>
          </w:tcPr>
          <w:p>
            <w:r>
              <w:rPr>
                <w:b/>
                <w:bCs/>
                <w:color w:val="FFFFFF"/>
                <w:sz w:val="20"/>
                <w:szCs w:val="20"/>
              </w:rPr>
              <w:t xml:space="preserve">Rol</w:t>
            </w:r>
          </w:p>
        </w:tc>
        <w:tc>
          <w:tcPr>
            <w:tcW w:type="dxa" w:w="3600"/>
            <w:shd w:fill="1F3864" w:val="clear"/>
            <w:tcMar>
              <w:top w:type="dxa" w:w="80"/>
              <w:left w:type="dxa" w:w="120"/>
              <w:bottom w:type="dxa" w:w="80"/>
              <w:right w:type="dxa" w:w="120"/>
            </w:tcMar>
          </w:tcPr>
          <w:p>
            <w:r>
              <w:rPr>
                <w:b/>
                <w:bCs/>
                <w:color w:val="FFFFFF"/>
                <w:sz w:val="20"/>
                <w:szCs w:val="20"/>
              </w:rPr>
              <w:t xml:space="preserve">Module vizibile</w:t>
            </w:r>
          </w:p>
        </w:tc>
        <w:tc>
          <w:tcPr>
            <w:tcW w:type="dxa" w:w="1150"/>
            <w:shd w:fill="1F3864" w:val="clear"/>
            <w:tcMar>
              <w:top w:type="dxa" w:w="80"/>
              <w:left w:type="dxa" w:w="120"/>
              <w:bottom w:type="dxa" w:w="80"/>
              <w:right w:type="dxa" w:w="120"/>
            </w:tcMar>
          </w:tcPr>
          <w:p>
            <w:r>
              <w:rPr>
                <w:b/>
                <w:bCs/>
                <w:color w:val="FFFFFF"/>
                <w:sz w:val="20"/>
                <w:szCs w:val="20"/>
              </w:rPr>
              <w:t xml:space="preserve">Emite Ordin de plată?</w:t>
            </w:r>
          </w:p>
        </w:tc>
        <w:tc>
          <w:tcPr>
            <w:tcW w:type="dxa" w:w="1300"/>
            <w:shd w:fill="1F3864" w:val="clear"/>
            <w:tcMar>
              <w:top w:type="dxa" w:w="80"/>
              <w:left w:type="dxa" w:w="120"/>
              <w:bottom w:type="dxa" w:w="80"/>
              <w:right w:type="dxa" w:w="120"/>
            </w:tcMar>
          </w:tcPr>
          <w:p>
            <w:r>
              <w:rPr>
                <w:b/>
                <w:bCs/>
                <w:color w:val="FFFFFF"/>
                <w:sz w:val="20"/>
                <w:szCs w:val="20"/>
              </w:rPr>
              <w:t xml:space="preserve">Doar citire?</w:t>
            </w:r>
          </w:p>
        </w:tc>
      </w:tr>
      <w:tr>
        <w:tc>
          <w:tcPr>
            <w:tcW w:type="dxa" w:w="3300"/>
            <w:tcMar>
              <w:top w:type="dxa" w:w="80"/>
              <w:left w:type="dxa" w:w="120"/>
              <w:bottom w:type="dxa" w:w="80"/>
              <w:right w:type="dxa" w:w="120"/>
            </w:tcMar>
          </w:tcPr>
          <w:p>
            <w:r>
              <w:rPr>
                <w:b w:val="false"/>
                <w:bCs w:val="false"/>
                <w:color w:val="1C1917"/>
                <w:sz w:val="20"/>
                <w:szCs w:val="20"/>
              </w:rPr>
              <w:t xml:space="preserve">Preot paroh / Administrator parohie</w:t>
            </w:r>
          </w:p>
        </w:tc>
        <w:tc>
          <w:tcPr>
            <w:tcW w:type="dxa" w:w="3600"/>
            <w:tcMar>
              <w:top w:type="dxa" w:w="80"/>
              <w:left w:type="dxa" w:w="120"/>
              <w:bottom w:type="dxa" w:w="80"/>
              <w:right w:type="dxa" w:w="120"/>
            </w:tcMar>
          </w:tcPr>
          <w:p>
            <w:r>
              <w:rPr>
                <w:b w:val="false"/>
                <w:bCs w:val="false"/>
                <w:color w:val="1C1917"/>
                <w:sz w:val="20"/>
                <w:szCs w:val="20"/>
              </w:rPr>
              <w:t xml:space="preserve">Toate (inclusiv Import date și Date parohie)</w:t>
            </w:r>
          </w:p>
        </w:tc>
        <w:tc>
          <w:tcPr>
            <w:tcW w:type="dxa" w:w="1150"/>
            <w:tcMar>
              <w:top w:type="dxa" w:w="80"/>
              <w:left w:type="dxa" w:w="120"/>
              <w:bottom w:type="dxa" w:w="80"/>
              <w:right w:type="dxa" w:w="120"/>
            </w:tcMar>
          </w:tcPr>
          <w:p>
            <w:r>
              <w:rPr>
                <w:b w:val="false"/>
                <w:bCs w:val="false"/>
                <w:color w:val="1C1917"/>
                <w:sz w:val="20"/>
                <w:szCs w:val="20"/>
              </w:rPr>
              <w:t xml:space="preserve">Da</w:t>
            </w:r>
          </w:p>
        </w:tc>
        <w:tc>
          <w:tcPr>
            <w:tcW w:type="dxa" w:w="1300"/>
            <w:tcMar>
              <w:top w:type="dxa" w:w="80"/>
              <w:left w:type="dxa" w:w="120"/>
              <w:bottom w:type="dxa" w:w="80"/>
              <w:right w:type="dxa" w:w="120"/>
            </w:tcMar>
          </w:tcPr>
          <w:p>
            <w:r>
              <w:rPr>
                <w:b w:val="false"/>
                <w:bCs w:val="false"/>
                <w:color w:val="1C1917"/>
                <w:sz w:val="20"/>
                <w:szCs w:val="20"/>
              </w:rPr>
              <w:t xml:space="preserve">Nu</w:t>
            </w:r>
          </w:p>
        </w:tc>
      </w:tr>
      <w:tr>
        <w:tc>
          <w:tcPr>
            <w:tcW w:type="dxa" w:w="3300"/>
            <w:tcMar>
              <w:top w:type="dxa" w:w="80"/>
              <w:left w:type="dxa" w:w="120"/>
              <w:bottom w:type="dxa" w:w="80"/>
              <w:right w:type="dxa" w:w="120"/>
            </w:tcMar>
          </w:tcPr>
          <w:p>
            <w:r>
              <w:rPr>
                <w:b w:val="false"/>
                <w:bCs w:val="false"/>
                <w:color w:val="1C1917"/>
                <w:sz w:val="20"/>
                <w:szCs w:val="20"/>
              </w:rPr>
              <w:t xml:space="preserve">Contabil parohie</w:t>
            </w:r>
          </w:p>
        </w:tc>
        <w:tc>
          <w:tcPr>
            <w:tcW w:type="dxa" w:w="3600"/>
            <w:tcMar>
              <w:top w:type="dxa" w:w="80"/>
              <w:left w:type="dxa" w:w="120"/>
              <w:bottom w:type="dxa" w:w="80"/>
              <w:right w:type="dxa" w:w="120"/>
            </w:tcMar>
          </w:tcPr>
          <w:p>
            <w:r>
              <w:rPr>
                <w:b w:val="false"/>
                <w:bCs w:val="false"/>
                <w:color w:val="1C1917"/>
                <w:sz w:val="20"/>
                <w:szCs w:val="20"/>
              </w:rPr>
              <w:t xml:space="preserve">Tablou de bord, Registru Jurnal, Pangar (Nomenclatoare), Consum intern, Inventar, Cimitir, Corespondență, Organisme parohiale, Rapoarte</w:t>
            </w:r>
          </w:p>
        </w:tc>
        <w:tc>
          <w:tcPr>
            <w:tcW w:type="dxa" w:w="1150"/>
            <w:tcMar>
              <w:top w:type="dxa" w:w="80"/>
              <w:left w:type="dxa" w:w="120"/>
              <w:bottom w:type="dxa" w:w="80"/>
              <w:right w:type="dxa" w:w="120"/>
            </w:tcMar>
          </w:tcPr>
          <w:p>
            <w:r>
              <w:rPr>
                <w:b w:val="false"/>
                <w:bCs w:val="false"/>
                <w:color w:val="1C1917"/>
                <w:sz w:val="20"/>
                <w:szCs w:val="20"/>
              </w:rPr>
              <w:t xml:space="preserve">Da</w:t>
            </w:r>
          </w:p>
        </w:tc>
        <w:tc>
          <w:tcPr>
            <w:tcW w:type="dxa" w:w="1300"/>
            <w:tcMar>
              <w:top w:type="dxa" w:w="80"/>
              <w:left w:type="dxa" w:w="120"/>
              <w:bottom w:type="dxa" w:w="80"/>
              <w:right w:type="dxa" w:w="120"/>
            </w:tcMar>
          </w:tcPr>
          <w:p>
            <w:r>
              <w:rPr>
                <w:b w:val="false"/>
                <w:bCs w:val="false"/>
                <w:color w:val="1C1917"/>
                <w:sz w:val="20"/>
                <w:szCs w:val="20"/>
              </w:rPr>
              <w:t xml:space="preserve">Nu</w:t>
            </w:r>
          </w:p>
        </w:tc>
      </w:tr>
      <w:tr>
        <w:tc>
          <w:tcPr>
            <w:tcW w:type="dxa" w:w="3300"/>
            <w:tcMar>
              <w:top w:type="dxa" w:w="80"/>
              <w:left w:type="dxa" w:w="120"/>
              <w:bottom w:type="dxa" w:w="80"/>
              <w:right w:type="dxa" w:w="120"/>
            </w:tcMar>
          </w:tcPr>
          <w:p>
            <w:r>
              <w:rPr>
                <w:b w:val="false"/>
                <w:bCs w:val="false"/>
                <w:color w:val="1C1917"/>
                <w:sz w:val="20"/>
                <w:szCs w:val="20"/>
              </w:rPr>
              <w:t xml:space="preserve">Casier</w:t>
            </w:r>
          </w:p>
        </w:tc>
        <w:tc>
          <w:tcPr>
            <w:tcW w:type="dxa" w:w="3600"/>
            <w:tcMar>
              <w:top w:type="dxa" w:w="80"/>
              <w:left w:type="dxa" w:w="120"/>
              <w:bottom w:type="dxa" w:w="80"/>
              <w:right w:type="dxa" w:w="120"/>
            </w:tcMar>
          </w:tcPr>
          <w:p>
            <w:r>
              <w:rPr>
                <w:b w:val="false"/>
                <w:bCs w:val="false"/>
                <w:color w:val="1C1917"/>
                <w:sz w:val="20"/>
                <w:szCs w:val="20"/>
              </w:rPr>
              <w:t xml:space="preserve">Tablou de bord, Registru Jurnal</w:t>
            </w:r>
          </w:p>
        </w:tc>
        <w:tc>
          <w:tcPr>
            <w:tcW w:type="dxa" w:w="1150"/>
            <w:tcMar>
              <w:top w:type="dxa" w:w="80"/>
              <w:left w:type="dxa" w:w="120"/>
              <w:bottom w:type="dxa" w:w="80"/>
              <w:right w:type="dxa" w:w="120"/>
            </w:tcMar>
          </w:tcPr>
          <w:p>
            <w:r>
              <w:rPr>
                <w:b w:val="false"/>
                <w:bCs w:val="false"/>
                <w:color w:val="1C1917"/>
                <w:sz w:val="20"/>
                <w:szCs w:val="20"/>
              </w:rPr>
              <w:t xml:space="preserve">Nu</w:t>
            </w:r>
          </w:p>
        </w:tc>
        <w:tc>
          <w:tcPr>
            <w:tcW w:type="dxa" w:w="1300"/>
            <w:tcMar>
              <w:top w:type="dxa" w:w="80"/>
              <w:left w:type="dxa" w:w="120"/>
              <w:bottom w:type="dxa" w:w="80"/>
              <w:right w:type="dxa" w:w="120"/>
            </w:tcMar>
          </w:tcPr>
          <w:p>
            <w:r>
              <w:rPr>
                <w:b w:val="false"/>
                <w:bCs w:val="false"/>
                <w:color w:val="1C1917"/>
                <w:sz w:val="20"/>
                <w:szCs w:val="20"/>
              </w:rPr>
              <w:t xml:space="preserve">Nu</w:t>
            </w:r>
          </w:p>
        </w:tc>
      </w:tr>
      <w:tr>
        <w:tc>
          <w:tcPr>
            <w:tcW w:type="dxa" w:w="3300"/>
            <w:tcMar>
              <w:top w:type="dxa" w:w="80"/>
              <w:left w:type="dxa" w:w="120"/>
              <w:bottom w:type="dxa" w:w="80"/>
              <w:right w:type="dxa" w:w="120"/>
            </w:tcMar>
          </w:tcPr>
          <w:p>
            <w:r>
              <w:rPr>
                <w:b w:val="false"/>
                <w:bCs w:val="false"/>
                <w:color w:val="1C1917"/>
                <w:sz w:val="20"/>
                <w:szCs w:val="20"/>
              </w:rPr>
              <w:t xml:space="preserve">Responsabil pangar</w:t>
            </w:r>
          </w:p>
        </w:tc>
        <w:tc>
          <w:tcPr>
            <w:tcW w:type="dxa" w:w="3600"/>
            <w:tcMar>
              <w:top w:type="dxa" w:w="80"/>
              <w:left w:type="dxa" w:w="120"/>
              <w:bottom w:type="dxa" w:w="80"/>
              <w:right w:type="dxa" w:w="120"/>
            </w:tcMar>
          </w:tcPr>
          <w:p>
            <w:r>
              <w:rPr>
                <w:b w:val="false"/>
                <w:bCs w:val="false"/>
                <w:color w:val="1C1917"/>
                <w:sz w:val="20"/>
                <w:szCs w:val="20"/>
              </w:rPr>
              <w:t xml:space="preserve">Tablou de bord, Pangar</w:t>
            </w:r>
          </w:p>
        </w:tc>
        <w:tc>
          <w:tcPr>
            <w:tcW w:type="dxa" w:w="1150"/>
            <w:tcMar>
              <w:top w:type="dxa" w:w="80"/>
              <w:left w:type="dxa" w:w="120"/>
              <w:bottom w:type="dxa" w:w="80"/>
              <w:right w:type="dxa" w:w="120"/>
            </w:tcMar>
          </w:tcPr>
          <w:p>
            <w:r>
              <w:rPr>
                <w:b w:val="false"/>
                <w:bCs w:val="false"/>
                <w:color w:val="1C1917"/>
                <w:sz w:val="20"/>
                <w:szCs w:val="20"/>
              </w:rPr>
              <w:t xml:space="preserve">Nu</w:t>
            </w:r>
          </w:p>
        </w:tc>
        <w:tc>
          <w:tcPr>
            <w:tcW w:type="dxa" w:w="1300"/>
            <w:tcMar>
              <w:top w:type="dxa" w:w="80"/>
              <w:left w:type="dxa" w:w="120"/>
              <w:bottom w:type="dxa" w:w="80"/>
              <w:right w:type="dxa" w:w="120"/>
            </w:tcMar>
          </w:tcPr>
          <w:p>
            <w:r>
              <w:rPr>
                <w:b w:val="false"/>
                <w:bCs w:val="false"/>
                <w:color w:val="1C1917"/>
                <w:sz w:val="20"/>
                <w:szCs w:val="20"/>
              </w:rPr>
              <w:t xml:space="preserve">Nu</w:t>
            </w:r>
          </w:p>
        </w:tc>
      </w:tr>
      <w:tr>
        <w:tc>
          <w:tcPr>
            <w:tcW w:type="dxa" w:w="3300"/>
            <w:tcMar>
              <w:top w:type="dxa" w:w="80"/>
              <w:left w:type="dxa" w:w="120"/>
              <w:bottom w:type="dxa" w:w="80"/>
              <w:right w:type="dxa" w:w="120"/>
            </w:tcMar>
          </w:tcPr>
          <w:p>
            <w:r>
              <w:rPr>
                <w:b w:val="false"/>
                <w:bCs w:val="false"/>
                <w:color w:val="1C1917"/>
                <w:sz w:val="20"/>
                <w:szCs w:val="20"/>
              </w:rPr>
              <w:t xml:space="preserve">Auditor extern</w:t>
            </w:r>
          </w:p>
        </w:tc>
        <w:tc>
          <w:tcPr>
            <w:tcW w:type="dxa" w:w="3600"/>
            <w:tcMar>
              <w:top w:type="dxa" w:w="80"/>
              <w:left w:type="dxa" w:w="120"/>
              <w:bottom w:type="dxa" w:w="80"/>
              <w:right w:type="dxa" w:w="120"/>
            </w:tcMar>
          </w:tcPr>
          <w:p>
            <w:r>
              <w:rPr>
                <w:b w:val="false"/>
                <w:bCs w:val="false"/>
                <w:color w:val="1C1917"/>
                <w:sz w:val="20"/>
                <w:szCs w:val="20"/>
              </w:rPr>
              <w:t xml:space="preserve">Toate modulele operaționale (fără Import date)</w:t>
            </w:r>
          </w:p>
        </w:tc>
        <w:tc>
          <w:tcPr>
            <w:tcW w:type="dxa" w:w="1150"/>
            <w:tcMar>
              <w:top w:type="dxa" w:w="80"/>
              <w:left w:type="dxa" w:w="120"/>
              <w:bottom w:type="dxa" w:w="80"/>
              <w:right w:type="dxa" w:w="120"/>
            </w:tcMar>
          </w:tcPr>
          <w:p>
            <w:r>
              <w:rPr>
                <w:b w:val="false"/>
                <w:bCs w:val="false"/>
                <w:color w:val="1C1917"/>
                <w:sz w:val="20"/>
                <w:szCs w:val="20"/>
              </w:rPr>
              <w:t xml:space="preserve">Nu</w:t>
            </w:r>
          </w:p>
        </w:tc>
        <w:tc>
          <w:tcPr>
            <w:tcW w:type="dxa" w:w="1300"/>
            <w:tcMar>
              <w:top w:type="dxa" w:w="80"/>
              <w:left w:type="dxa" w:w="120"/>
              <w:bottom w:type="dxa" w:w="80"/>
              <w:right w:type="dxa" w:w="120"/>
            </w:tcMar>
          </w:tcPr>
          <w:p>
            <w:r>
              <w:rPr>
                <w:b w:val="false"/>
                <w:bCs w:val="false"/>
                <w:color w:val="1C1917"/>
                <w:sz w:val="20"/>
                <w:szCs w:val="20"/>
              </w:rPr>
              <w:t xml:space="preserve">Da — doar vizualizare</w:t>
            </w:r>
          </w:p>
        </w:tc>
      </w:tr>
    </w:tbl>
    <w:p>
      <w:pPr>
        <w:pBdr>
          <w:left w:val="single" w:color="B8860B" w:sz="18" w:space="8"/>
        </w:pBdr>
        <w:spacing w:after="200" w:before="100"/>
        <w:ind w:left="200"/>
      </w:pPr>
      <w:r>
        <w:rPr>
          <w:b/>
          <w:bCs/>
          <w:color w:val="B8860B"/>
        </w:rPr>
        <w:t xml:space="preserve">Notă: </w:t>
      </w:r>
      <w:r>
        <w:t xml:space="preserve">Doar contul de Preot paroh / Administrator parohie poate accesa „Date parohie”, „Import date” și „Deblocare 2FA utilizatori”. Rolul de Auditor vede aceleași ecrane ca celelalte roluri, dar orice buton de adăugare/editare/ștergere este dezactivat.</w:t>
      </w:r>
    </w:p>
    <w:p>
      <w:pPr>
        <w:pStyle w:val="Heading1"/>
        <w:spacing w:after="200" w:before="400"/>
      </w:pPr>
      <w:r>
        <w:t xml:space="preserve">4. Tablou de bord</w:t>
      </w:r>
    </w:p>
    <w:p>
      <w:pPr>
        <w:spacing w:after="160"/>
      </w:pPr>
      <w:r>
        <w:t xml:space="preserve">Tabloul de bord este ecranul afișat imediat după autentificare și oferă o privire de ansamblu asupra situației financiare curente a parohiei.</w:t>
      </w:r>
    </w:p>
    <w:p>
      <w:pPr>
        <w:pStyle w:val="Heading2"/>
        <w:spacing w:after="150" w:before="300"/>
      </w:pPr>
      <w:r>
        <w:t xml:space="preserve">4.1. Excedent / deficit anual</w:t>
      </w:r>
    </w:p>
    <w:p>
      <w:pPr>
        <w:spacing w:after="160"/>
      </w:pPr>
      <w:r>
        <w:t xml:space="preserve">În partea de sus se afișează rezultatul anului curent (Venituri − Cheltuieli), calculat automat din toate operațiunile înregistrate în Registrul Jurnal pentru anul respectiv.</w:t>
      </w:r>
    </w:p>
    <w:p>
      <w:pPr>
        <w:pStyle w:val="Heading2"/>
        <w:spacing w:after="150" w:before="300"/>
      </w:pPr>
      <w:r>
        <w:t xml:space="preserve">4.2. Prevederi bugetare</w:t>
      </w:r>
    </w:p>
    <w:p>
      <w:pPr>
        <w:spacing w:after="160"/>
      </w:pPr>
      <w:r>
        <w:t xml:space="preserve">Permite introducerea sau corectarea liberă a prevederilor bugetare pentru orice an (trecut, curent sau viitor), atâta timp cât exercițiul financiar al acelui an nu este închis definitiv. Din același panou se poate declanșa „Închide exercițiul [an]” — o operațiune care blochează definitiv modificările pentru anul respectiv.</w:t>
      </w:r>
    </w:p>
    <w:p>
      <w:pPr>
        <w:pBdr>
          <w:left w:val="single" w:color="B91C1C" w:sz="18" w:space="8"/>
        </w:pBdr>
        <w:spacing w:after="200" w:before="100"/>
        <w:ind w:left="200"/>
      </w:pPr>
      <w:r>
        <w:rPr>
          <w:b/>
          <w:bCs/>
          <w:color w:val="B91C1C"/>
        </w:rPr>
        <w:t xml:space="preserve">Atenție: </w:t>
      </w:r>
      <w:r>
        <w:t xml:space="preserve">Închiderea unui exercițiu financiar este ireversibilă din interfață — se face doar după ce toate operațiunile anului sunt verificate și corecte.</w:t>
      </w:r>
    </w:p>
    <w:p>
      <w:pPr>
        <w:pStyle w:val="Heading2"/>
        <w:spacing w:after="150" w:before="300"/>
      </w:pPr>
      <w:r>
        <w:t xml:space="preserve">4.3. Datorii curente către furnizori</w:t>
      </w:r>
    </w:p>
    <w:p>
      <w:pPr>
        <w:spacing w:after="160"/>
      </w:pPr>
      <w:r>
        <w:t xml:space="preserve">Tabelul „Datorii curente către furnizori” listează toate facturile de la furnizori (recepționate prin modulul Pangar, ca Notă de Recepție și Constatare de Diferențe — NRCD) care nu sunt încă achitate integral. Pentru fiecare factură se afișează furnizorul, numărul facturii, restul de plată și vechimea (cu evidențiere specială pentru facturile mai vechi de 60 de zile).</w:t>
      </w:r>
    </w:p>
    <w:p>
      <w:pPr>
        <w:pStyle w:val="Heading3"/>
        <w:spacing w:after="100" w:before="200"/>
      </w:pPr>
      <w:r>
        <w:t xml:space="preserve">Achitarea unei datorii — integral sau parțial</w:t>
      </w:r>
    </w:p>
    <w:p>
      <w:pPr>
        <w:spacing w:after="160"/>
      </w:pPr>
      <w:r>
        <w:t xml:space="preserve">Butonul „Achită” de pe rândul unei facturi deschide fereastra „Achitare datorie”, care afișează:</w:t>
      </w:r>
    </w:p>
    <w:p>
      <w:pPr>
        <w:pStyle w:val="ListParagraph"/>
        <w:numPr>
          <w:ilvl w:val="0"/>
          <w:numId w:val="2"/>
        </w:numPr>
        <w:spacing w:after="80"/>
      </w:pPr>
      <w:r>
        <w:t xml:space="preserve">Totalul facturii și, dacă s-au făcut deja plăți parțiale, suma achitată până acum și lista plăților anterioare (număr Ordin de plată, dată, sumă);</w:t>
      </w:r>
    </w:p>
    <w:p>
      <w:pPr>
        <w:pStyle w:val="ListParagraph"/>
        <w:numPr>
          <w:ilvl w:val="0"/>
          <w:numId w:val="2"/>
        </w:numPr>
        <w:spacing w:after="80"/>
      </w:pPr>
      <w:r>
        <w:t xml:space="preserve">Restul de plată curent;</w:t>
      </w:r>
    </w:p>
    <w:p>
      <w:pPr>
        <w:pStyle w:val="ListParagraph"/>
        <w:numPr>
          <w:ilvl w:val="0"/>
          <w:numId w:val="2"/>
        </w:numPr>
        <w:spacing w:after="80"/>
      </w:pPr>
      <w:r>
        <w:t xml:space="preserve">Un câmp editabil „Sumă de plată”, precompletat cu restul de plată, dar care poate fi micșorat pentru o achitare parțială;</w:t>
      </w:r>
    </w:p>
    <w:p>
      <w:pPr>
        <w:pStyle w:val="ListParagraph"/>
        <w:numPr>
          <w:ilvl w:val="0"/>
          <w:numId w:val="2"/>
        </w:numPr>
        <w:spacing w:after="80"/>
      </w:pPr>
      <w:r>
        <w:t xml:space="preserve">Data plății și modul de plată (Numerar/casă sau Transfer bancar).</w:t>
      </w:r>
    </w:p>
    <w:p>
      <w:pPr>
        <w:spacing w:after="160"/>
      </w:pPr>
      <w:r>
        <w:t xml:space="preserve">La „Confirmă plata”, aplicația:</w:t>
      </w:r>
    </w:p>
    <w:p>
      <w:pPr>
        <w:pStyle w:val="ListParagraph"/>
        <w:numPr>
          <w:ilvl w:val="0"/>
          <w:numId w:val="3"/>
        </w:numPr>
        <w:spacing w:after="80"/>
      </w:pPr>
      <w:r>
        <w:t xml:space="preserve">Creează automat un Ordin de plată pentru suma introdusă, cu numerotare proprie în Registrul Jurnal;</w:t>
      </w:r>
    </w:p>
    <w:p>
      <w:pPr>
        <w:pStyle w:val="ListParagraph"/>
        <w:numPr>
          <w:ilvl w:val="0"/>
          <w:numId w:val="3"/>
        </w:numPr>
        <w:spacing w:after="80"/>
      </w:pPr>
      <w:r>
        <w:t xml:space="preserve">Dacă suma introdusă acoperă tot restul de plată, marchează factura drept achitată integral și o elimină din lista de datorii curente;</w:t>
      </w:r>
    </w:p>
    <w:p>
      <w:pPr>
        <w:pStyle w:val="ListParagraph"/>
        <w:numPr>
          <w:ilvl w:val="0"/>
          <w:numId w:val="3"/>
        </w:numPr>
        <w:spacing w:after="80"/>
      </w:pPr>
      <w:r>
        <w:t xml:space="preserve">Dacă suma introdusă este mai mică, factura rămâne vizibilă în „Datorii curente”, cu restul de plată actualizat — se poate achita ulterior în una sau mai multe tranșe suplimentare.</w:t>
      </w:r>
    </w:p>
    <w:p>
      <w:pPr>
        <w:pBdr>
          <w:left w:val="single" w:color="B8860B" w:sz="18" w:space="8"/>
        </w:pBdr>
        <w:spacing w:after="200" w:before="100"/>
        <w:ind w:left="200"/>
      </w:pPr>
      <w:r>
        <w:rPr>
          <w:b/>
          <w:bCs/>
          <w:color w:val="B8860B"/>
        </w:rPr>
        <w:t xml:space="preserve">Notă: </w:t>
      </w:r>
      <w:r>
        <w:t xml:space="preserve">Fiecare tranșă de plată generează propriul Ordin de plată, cu numărul lui de înregistrare — nu se rescrie un document deja emis.</w:t>
      </w:r>
    </w:p>
    <w:p>
      <w:pPr>
        <w:pBdr>
          <w:left w:val="single" w:color="B91C1C" w:sz="18" w:space="8"/>
        </w:pBdr>
        <w:spacing w:after="200" w:before="100"/>
        <w:ind w:left="200"/>
      </w:pPr>
      <w:r>
        <w:rPr>
          <w:b/>
          <w:bCs/>
          <w:color w:val="B91C1C"/>
        </w:rPr>
        <w:t xml:space="preserve">Atenție: </w:t>
      </w:r>
      <w:r>
        <w:t xml:space="preserve">O recepție (NRCD) care are deja cel puțin o plată înregistrată (parțială sau integrală) nu mai poate fi editată direct (cantitate, preț, furnizor) — trebuie șters/ajustat ordinul de plată legat, dacă e cazul, înainte de a corecta recepția.</w:t>
      </w:r>
    </w:p>
    <w:p>
      <w:pPr>
        <w:pStyle w:val="Heading2"/>
        <w:spacing w:after="150" w:before="300"/>
      </w:pPr>
      <w:r>
        <w:t xml:space="preserve">4.4. Situații care necesită atenție</w:t>
      </w:r>
    </w:p>
    <w:p>
      <w:pPr>
        <w:spacing w:after="160"/>
      </w:pPr>
      <w:r>
        <w:t xml:space="preserve">O listă de alerte generate automat: produse din Pangar cu stocul epuizat sau sub pragul minim, cu acces rapid către „Propune recepție” (deschide o recepție NRCD precompletată cu produsul respectiv) sau „Vezi pangar” pentru detalii.</w:t>
      </w:r>
    </w:p>
    <w:p>
      <w:pPr>
        <w:pStyle w:val="Heading1"/>
        <w:spacing w:after="200" w:before="400"/>
      </w:pPr>
      <w:r>
        <w:t xml:space="preserve">5. Registru Jurnal</w:t>
      </w:r>
    </w:p>
    <w:p>
      <w:pPr>
        <w:spacing w:after="160"/>
      </w:pPr>
      <w:r>
        <w:t xml:space="preserve">Registrul Jurnal este modulul central de contabilitate în partidă simplă — aici se înregistrează toate încasările (Chitanțe) și plățile (Ordine de plată) ale parohiei, pe articole bugetare, precum și transferurile interne între casă, bancă și depozite bancare.</w:t>
      </w:r>
    </w:p>
    <w:p>
      <w:pPr>
        <w:pStyle w:val="Heading2"/>
        <w:spacing w:after="150" w:before="300"/>
      </w:pPr>
      <w:r>
        <w:t xml:space="preserve">5.1. Articole bugetare (Nomenclatoare)</w:t>
      </w:r>
    </w:p>
    <w:p>
      <w:pPr>
        <w:spacing w:after="160"/>
      </w:pPr>
      <w:r>
        <w:t xml:space="preserve">Fiecare încasare sau plată se înregistrează pe un „articol bugetar” — un cont din planul de conturi simplificat pentru unități de cult (ex. 731.01.01 „Colecte”, 605.02 „Energie electrică”, 601.01 „Materiale pentru cult” etc.). Din „Nomenclatoare” → „Articole bugetare” se administrează lista acestor conturi:</w:t>
      </w:r>
    </w:p>
    <w:p>
      <w:pPr>
        <w:spacing w:after="160"/>
      </w:pPr>
      <w:r>
        <w:rPr>
          <w:b/>
          <w:bCs/>
        </w:rPr>
        <w:t xml:space="preserve">Câmpurile unui articol bugetar nou:</w:t>
      </w:r>
    </w:p>
    <w:p>
      <w:pPr>
        <w:pStyle w:val="ListParagraph"/>
        <w:numPr>
          <w:ilvl w:val="0"/>
          <w:numId w:val="2"/>
        </w:numPr>
        <w:spacing w:after="80"/>
      </w:pPr>
      <w:r>
        <w:t xml:space="preserve">Simbol (codul contului)</w:t>
      </w:r>
    </w:p>
    <w:p>
      <w:pPr>
        <w:pStyle w:val="ListParagraph"/>
        <w:numPr>
          <w:ilvl w:val="0"/>
          <w:numId w:val="2"/>
        </w:numPr>
        <w:spacing w:after="80"/>
      </w:pPr>
      <w:r>
        <w:t xml:space="preserve">Denumire</w:t>
      </w:r>
    </w:p>
    <w:p>
      <w:pPr>
        <w:pStyle w:val="ListParagraph"/>
        <w:numPr>
          <w:ilvl w:val="0"/>
          <w:numId w:val="2"/>
        </w:numPr>
        <w:spacing w:after="80"/>
      </w:pPr>
      <w:r>
        <w:t xml:space="preserve">Clasă (categoria contabilă din care face parte)</w:t>
      </w:r>
    </w:p>
    <w:p>
      <w:pPr>
        <w:pStyle w:val="Heading2"/>
        <w:spacing w:after="150" w:before="300"/>
      </w:pPr>
      <w:r>
        <w:t xml:space="preserve">5.2. Chitanțe (încasări)</w:t>
      </w:r>
    </w:p>
    <w:p>
      <w:pPr>
        <w:spacing w:after="160"/>
      </w:pPr>
      <w:r>
        <w:t xml:space="preserve">„Registru Jurnal” → „Intrări” → „Chitanță” → „Chitanță nouă” deschide formularul de încasare.</w:t>
      </w:r>
    </w:p>
    <w:p>
      <w:pPr>
        <w:spacing w:after="160"/>
      </w:pPr>
      <w:r>
        <w:rPr>
          <w:b/>
          <w:bCs/>
        </w:rPr>
        <w:t xml:space="preserve">Câmpurile formularului de Chitanță:</w:t>
      </w:r>
    </w:p>
    <w:p>
      <w:pPr>
        <w:pStyle w:val="ListParagraph"/>
        <w:numPr>
          <w:ilvl w:val="0"/>
          <w:numId w:val="2"/>
        </w:numPr>
        <w:spacing w:after="80"/>
      </w:pPr>
      <w:r>
        <w:t xml:space="preserve">Data</w:t>
      </w:r>
    </w:p>
    <w:p>
      <w:pPr>
        <w:pStyle w:val="ListParagraph"/>
        <w:numPr>
          <w:ilvl w:val="0"/>
          <w:numId w:val="2"/>
        </w:numPr>
        <w:spacing w:after="80"/>
      </w:pPr>
      <w:r>
        <w:t xml:space="preserve">Sursa încasării implicită, pentru liniile noi (numerar / bancă)</w:t>
      </w:r>
    </w:p>
    <w:p>
      <w:pPr>
        <w:pStyle w:val="ListParagraph"/>
        <w:numPr>
          <w:ilvl w:val="0"/>
          <w:numId w:val="2"/>
        </w:numPr>
        <w:spacing w:after="80"/>
      </w:pPr>
      <w:r>
        <w:t xml:space="preserve">Serie și Număr, preluate de pe chitanțierul fizic</w:t>
      </w:r>
    </w:p>
    <w:p>
      <w:pPr>
        <w:pStyle w:val="ListParagraph"/>
        <w:numPr>
          <w:ilvl w:val="0"/>
          <w:numId w:val="2"/>
        </w:numPr>
        <w:spacing w:after="80"/>
      </w:pPr>
      <w:r>
        <w:t xml:space="preserve">Denumire partener (plătitorul) — se poate alege un partener existent sau introduce unul nou</w:t>
      </w:r>
    </w:p>
    <w:p>
      <w:pPr>
        <w:pStyle w:val="ListParagraph"/>
        <w:numPr>
          <w:ilvl w:val="0"/>
          <w:numId w:val="2"/>
        </w:numPr>
        <w:spacing w:after="80"/>
      </w:pPr>
      <w:r>
        <w:t xml:space="preserve">Pentru fiecare linie: Articolul bugetar, Suma, Sursa (numerar/bancă) și Explicația</w:t>
      </w:r>
    </w:p>
    <w:p>
      <w:pPr>
        <w:spacing w:after="160"/>
      </w:pPr>
      <w:r>
        <w:t xml:space="preserve">O chitanță poate avea mai multe linii, dacă suma încasată se împarte pe mai multe articole bugetare.</w:t>
      </w:r>
    </w:p>
    <w:p>
      <w:pPr>
        <w:spacing w:after="160"/>
      </w:pPr>
      <w:r>
        <w:t xml:space="preserve">Meniul „Registru Jurnal” → „Intrări” → „Chitanță” → „Chitanțe emise” listează toate chitanțele deja înregistrate, cu posibilitate de căutare/filtrare și listare pentru tipărire.</w:t>
      </w:r>
    </w:p>
    <w:p>
      <w:pPr>
        <w:pStyle w:val="Heading2"/>
        <w:spacing w:after="150" w:before="300"/>
      </w:pPr>
      <w:r>
        <w:t xml:space="preserve">5.3. Ordine de plată (cheltuieli)</w:t>
      </w:r>
    </w:p>
    <w:p>
      <w:pPr>
        <w:spacing w:after="160"/>
      </w:pPr>
      <w:r>
        <w:t xml:space="preserve">„Registru Jurnal” → „Ieșiri” → „Ordin de plată” → „Ordin de plată nou” deschide formularul de plată.</w:t>
      </w:r>
    </w:p>
    <w:p>
      <w:pPr>
        <w:spacing w:after="160"/>
      </w:pPr>
      <w:r>
        <w:rPr>
          <w:b/>
          <w:bCs/>
        </w:rPr>
        <w:t xml:space="preserve">Câmpurile formularului de Ordin de plată:</w:t>
      </w:r>
    </w:p>
    <w:p>
      <w:pPr>
        <w:pStyle w:val="ListParagraph"/>
        <w:numPr>
          <w:ilvl w:val="0"/>
          <w:numId w:val="2"/>
        </w:numPr>
        <w:spacing w:after="80"/>
      </w:pPr>
      <w:r>
        <w:t xml:space="preserve">Data</w:t>
      </w:r>
    </w:p>
    <w:p>
      <w:pPr>
        <w:pStyle w:val="ListParagraph"/>
        <w:numPr>
          <w:ilvl w:val="0"/>
          <w:numId w:val="2"/>
        </w:numPr>
        <w:spacing w:after="80"/>
      </w:pPr>
      <w:r>
        <w:t xml:space="preserve">Destinația plății implicită, pentru liniile noi (numerar / bancă)</w:t>
      </w:r>
    </w:p>
    <w:p>
      <w:pPr>
        <w:pStyle w:val="ListParagraph"/>
        <w:numPr>
          <w:ilvl w:val="0"/>
          <w:numId w:val="2"/>
        </w:numPr>
        <w:spacing w:after="80"/>
      </w:pPr>
      <w:r>
        <w:t xml:space="preserve">Denumire partener (beneficiarul plății) — pentru anumite articole bugetare (ex. cotele către Eparhie/Protoierie) beneficiarul e determinat automat din articolul bugetar ales, altfel se alege manual</w:t>
      </w:r>
    </w:p>
    <w:p>
      <w:pPr>
        <w:pStyle w:val="ListParagraph"/>
        <w:numPr>
          <w:ilvl w:val="0"/>
          <w:numId w:val="2"/>
        </w:numPr>
        <w:spacing w:after="80"/>
      </w:pPr>
      <w:r>
        <w:t xml:space="preserve">Pentru fiecare linie: Articolul bugetar, Suma, Destinația (numerar/bancă) și Explicația</w:t>
      </w:r>
    </w:p>
    <w:p>
      <w:pPr>
        <w:pBdr>
          <w:left w:val="single" w:color="B8860B" w:sz="18" w:space="8"/>
        </w:pBdr>
        <w:spacing w:after="200" w:before="100"/>
        <w:ind w:left="200"/>
      </w:pPr>
      <w:r>
        <w:rPr>
          <w:b/>
          <w:bCs/>
          <w:color w:val="B8860B"/>
        </w:rPr>
        <w:t xml:space="preserve">Notă: </w:t>
      </w:r>
      <w:r>
        <w:t xml:space="preserve">Doar rolurile cu drept de emitere de Ordine de plată (Preot paroh/Administrator și Contabil) văd acest formular — Casierul poate doar vizualiza Ordinele deja emise.</w:t>
      </w:r>
    </w:p>
    <w:p>
      <w:pPr>
        <w:spacing w:after="160"/>
      </w:pPr>
      <w:r>
        <w:t xml:space="preserve">„Ordine de plată emise” listează toate plățile deja înregistrate, cu aceleași opțiuni de căutare și listare ca la chitanțe.</w:t>
      </w:r>
    </w:p>
    <w:p>
      <w:pPr>
        <w:pStyle w:val="Heading2"/>
        <w:spacing w:after="150" w:before="300"/>
      </w:pPr>
      <w:r>
        <w:t xml:space="preserve">5.4. Transferuri interne</w:t>
      </w:r>
    </w:p>
    <w:p>
      <w:pPr>
        <w:spacing w:after="160"/>
      </w:pPr>
      <w:r>
        <w:t xml:space="preserve">Mută sume între casă, bancă și depozite bancare, fără să afecteze rezultatul Venituri − Cheltuieli (nu sunt nici încasări, nici plăți propriu-zise):</w:t>
      </w:r>
    </w:p>
    <w:p>
      <w:pPr>
        <w:pStyle w:val="ListParagraph"/>
        <w:numPr>
          <w:ilvl w:val="0"/>
          <w:numId w:val="2"/>
        </w:numPr>
        <w:spacing w:after="80"/>
      </w:pPr>
      <w:r>
        <w:t xml:space="preserve">Transfer Casă → Bancă</w:t>
      </w:r>
    </w:p>
    <w:p>
      <w:pPr>
        <w:pStyle w:val="ListParagraph"/>
        <w:numPr>
          <w:ilvl w:val="0"/>
          <w:numId w:val="2"/>
        </w:numPr>
        <w:spacing w:after="80"/>
      </w:pPr>
      <w:r>
        <w:t xml:space="preserve">Transfer Bancă → Casă</w:t>
      </w:r>
    </w:p>
    <w:p>
      <w:pPr>
        <w:pStyle w:val="ListParagraph"/>
        <w:numPr>
          <w:ilvl w:val="0"/>
          <w:numId w:val="2"/>
        </w:numPr>
        <w:spacing w:after="80"/>
      </w:pPr>
      <w:r>
        <w:t xml:space="preserve">Constituire Depozit Bancar</w:t>
      </w:r>
    </w:p>
    <w:p>
      <w:pPr>
        <w:pStyle w:val="ListParagraph"/>
        <w:numPr>
          <w:ilvl w:val="0"/>
          <w:numId w:val="2"/>
        </w:numPr>
        <w:spacing w:after="80"/>
      </w:pPr>
      <w:r>
        <w:t xml:space="preserve">Închidere Depozit Bancar</w:t>
      </w:r>
    </w:p>
    <w:p>
      <w:pPr>
        <w:spacing w:after="160"/>
      </w:pPr>
      <w:r>
        <w:t xml:space="preserve">Fiecare transfer are: direcția, sursa și destinația, data, suma și — pentru depozite — data scadenței (activează o alertă pe Tabloul de bord la apropierea scadenței).</w:t>
      </w:r>
    </w:p>
    <w:p>
      <w:pPr>
        <w:spacing w:after="160"/>
      </w:pPr>
      <w:r>
        <w:t xml:space="preserve">„Registrul Transferurilor interne” listează toate transferurile efectuate; „Editare/Ștergere transferuri interne” permite corectarea sau anularea unui transfer greșit.</w:t>
      </w:r>
    </w:p>
    <w:p>
      <w:pPr>
        <w:pStyle w:val="Heading2"/>
        <w:spacing w:after="150" w:before="300"/>
      </w:pPr>
      <w:r>
        <w:t xml:space="preserve">5.5. Reconciliere bancară</w:t>
      </w:r>
    </w:p>
    <w:p>
      <w:pPr>
        <w:spacing w:after="160"/>
      </w:pPr>
      <w:r>
        <w:t xml:space="preserve">Permite confruntarea operațiunilor înregistrate în aplicație pe contul bancar cu extrasul de cont efectiv al băncii, pentru identificarea eventualelor diferențe (operațiuni neînregistrate sau înregistrate greșit).</w:t>
      </w:r>
    </w:p>
    <w:p>
      <w:pPr>
        <w:pStyle w:val="Heading1"/>
        <w:spacing w:after="200" w:before="400"/>
      </w:pPr>
      <w:r>
        <w:t xml:space="preserve">6. Pangar</w:t>
      </w:r>
    </w:p>
    <w:p>
      <w:pPr>
        <w:spacing w:after="160"/>
      </w:pPr>
      <w:r>
        <w:t xml:space="preserve">Modulul Pangar ține evidența de gestiune a magazinului bisericesc: lumânări, candele, colportaj (icoane, cruci, cărți etc.), vin bisericesc și calendare — de la recepția de la furnizori până la vânzarea către credincioși, cu stocuri actualizate automat.</w:t>
      </w:r>
    </w:p>
    <w:p>
      <w:pPr>
        <w:pStyle w:val="Heading2"/>
        <w:spacing w:after="150" w:before="300"/>
      </w:pPr>
      <w:r>
        <w:t xml:space="preserve">6.1. Categoriile bugetare din Pangar</w:t>
      </w:r>
    </w:p>
    <w:p>
      <w:pPr>
        <w:spacing w:after="160"/>
      </w:pPr>
      <w:r>
        <w:t xml:space="preserve">Fiecare produs din nomenclator aparține uneia dintre categoriile bugetare predefinite:</w:t>
      </w:r>
    </w:p>
    <w:p>
      <w:pPr>
        <w:pStyle w:val="ListParagraph"/>
        <w:numPr>
          <w:ilvl w:val="0"/>
          <w:numId w:val="2"/>
        </w:numPr>
        <w:spacing w:after="80"/>
      </w:pPr>
      <w:r>
        <w:t xml:space="preserve">Candele de cult</w:t>
      </w:r>
    </w:p>
    <w:p>
      <w:pPr>
        <w:pStyle w:val="ListParagraph"/>
        <w:numPr>
          <w:ilvl w:val="0"/>
          <w:numId w:val="2"/>
        </w:numPr>
        <w:spacing w:after="80"/>
      </w:pPr>
      <w:r>
        <w:t xml:space="preserve">Lumânări de cult</w:t>
      </w:r>
    </w:p>
    <w:p>
      <w:pPr>
        <w:pStyle w:val="ListParagraph"/>
        <w:numPr>
          <w:ilvl w:val="0"/>
          <w:numId w:val="2"/>
        </w:numPr>
        <w:spacing w:after="80"/>
      </w:pPr>
      <w:r>
        <w:t xml:space="preserve">Lumânări de ceară</w:t>
      </w:r>
    </w:p>
    <w:p>
      <w:pPr>
        <w:pStyle w:val="ListParagraph"/>
        <w:numPr>
          <w:ilvl w:val="0"/>
          <w:numId w:val="2"/>
        </w:numPr>
        <w:spacing w:after="80"/>
      </w:pPr>
      <w:r>
        <w:t xml:space="preserve">Colportaj</w:t>
      </w:r>
    </w:p>
    <w:p>
      <w:pPr>
        <w:pStyle w:val="ListParagraph"/>
        <w:numPr>
          <w:ilvl w:val="0"/>
          <w:numId w:val="2"/>
        </w:numPr>
        <w:spacing w:after="80"/>
      </w:pPr>
      <w:r>
        <w:t xml:space="preserve">Vin</w:t>
      </w:r>
    </w:p>
    <w:p>
      <w:pPr>
        <w:pStyle w:val="ListParagraph"/>
        <w:numPr>
          <w:ilvl w:val="0"/>
          <w:numId w:val="2"/>
        </w:numPr>
        <w:spacing w:after="80"/>
      </w:pPr>
      <w:r>
        <w:t xml:space="preserve">Calendare</w:t>
      </w:r>
    </w:p>
    <w:p>
      <w:pPr>
        <w:spacing w:after="160"/>
      </w:pPr>
      <w:r>
        <w:t xml:space="preserve">Categoria determină automat articolul bugetar de achiziție (cheltuială, la recepție) și cel de vânzare (venit, la vânzare) pe care se înregistrează operațiunea financiară aferentă — nu trebuie ales manual.</w:t>
      </w:r>
    </w:p>
    <w:p>
      <w:pPr>
        <w:pStyle w:val="Heading2"/>
        <w:spacing w:after="150" w:before="300"/>
      </w:pPr>
      <w:r>
        <w:t xml:space="preserve">6.2. Nomenclatorul de produse</w:t>
      </w:r>
    </w:p>
    <w:p>
      <w:pPr>
        <w:spacing w:after="160"/>
      </w:pPr>
      <w:r>
        <w:t xml:space="preserve">„Pangar” → „Nomenclator” → „Vezi nomenclatorul” afișează toate produsele definite, iar „Produs nou” adaugă un produs.</w:t>
      </w:r>
    </w:p>
    <w:p>
      <w:pPr>
        <w:pBdr>
          <w:left w:val="single" w:color="B8860B" w:sz="18" w:space="8"/>
        </w:pBdr>
        <w:spacing w:after="200" w:before="100"/>
        <w:ind w:left="200"/>
      </w:pPr>
      <w:r>
        <w:rPr>
          <w:b/>
          <w:bCs/>
          <w:color w:val="B8860B"/>
        </w:rPr>
        <w:t xml:space="preserve">Notă: </w:t>
      </w:r>
      <w:r>
        <w:t xml:space="preserve">Când se schimbă prețul de achiziție sau de vânzare al unui produs existent, aplicația generează un cod nou pentru acea variantă de preț, păstrând codul vechi (cu stocul rămas la prețul vechi) intact — astfel ambele loturi, cu prețuri diferite, rămân distincte pentru evidența de gestiune.</w:t>
      </w:r>
    </w:p>
    <w:p>
      <w:pPr>
        <w:pStyle w:val="Heading2"/>
        <w:spacing w:after="150" w:before="300"/>
      </w:pPr>
      <w:r>
        <w:t xml:space="preserve">6.3. Intrări — recepția de la furnizori (NRCD)</w:t>
      </w:r>
    </w:p>
    <w:p>
      <w:pPr>
        <w:spacing w:after="160"/>
      </w:pPr>
      <w:r>
        <w:t xml:space="preserve">„Pangar” → „Intrări” → „Creează intrare (NRCD)” înregistrează o Notă de Recepție și Constatare de Diferențe.</w:t>
      </w:r>
    </w:p>
    <w:p>
      <w:pPr>
        <w:spacing w:after="160"/>
      </w:pPr>
      <w:r>
        <w:rPr>
          <w:b/>
          <w:bCs/>
        </w:rPr>
        <w:t xml:space="preserve">Câmpurile formularului de recepție:</w:t>
      </w:r>
    </w:p>
    <w:p>
      <w:pPr>
        <w:pStyle w:val="ListParagraph"/>
        <w:numPr>
          <w:ilvl w:val="0"/>
          <w:numId w:val="2"/>
        </w:numPr>
        <w:spacing w:after="80"/>
      </w:pPr>
      <w:r>
        <w:t xml:space="preserve">Nr. factură și Data facturii</w:t>
      </w:r>
    </w:p>
    <w:p>
      <w:pPr>
        <w:pStyle w:val="ListParagraph"/>
        <w:numPr>
          <w:ilvl w:val="0"/>
          <w:numId w:val="2"/>
        </w:numPr>
        <w:spacing w:after="80"/>
      </w:pPr>
      <w:r>
        <w:t xml:space="preserve">Furnizor (partener existent sau nou)</w:t>
      </w:r>
    </w:p>
    <w:p>
      <w:pPr>
        <w:pStyle w:val="ListParagraph"/>
        <w:numPr>
          <w:ilvl w:val="0"/>
          <w:numId w:val="2"/>
        </w:numPr>
        <w:spacing w:after="80"/>
      </w:pPr>
      <w:r>
        <w:t xml:space="preserve">Pentru fiecare linie: Produsul și Cantitatea recepționată</w:t>
      </w:r>
    </w:p>
    <w:p>
      <w:pPr>
        <w:pStyle w:val="ListParagraph"/>
        <w:numPr>
          <w:ilvl w:val="0"/>
          <w:numId w:val="2"/>
        </w:numPr>
        <w:spacing w:after="80"/>
      </w:pPr>
      <w:r>
        <w:t xml:space="preserve">Mod de plată — dacă se bifează achitarea imediată; altfel, factura rămâne ca datorie curentă (vezi 4.3)</w:t>
      </w:r>
    </w:p>
    <w:p>
      <w:pPr>
        <w:spacing w:after="160"/>
      </w:pPr>
      <w:r>
        <w:t xml:space="preserve">„Stoc inițial” înregistrează stocul de pornire al unui produs, la prima utilizare a aplicației sau la un inventar de reașezare a soldurilor.</w:t>
      </w:r>
    </w:p>
    <w:p>
      <w:pPr>
        <w:spacing w:after="160"/>
      </w:pPr>
      <w:r>
        <w:t xml:space="preserve">„Tablou intrări” centralizează toate recepțiile efectuate, cu filtrare pe perioadă și furnizor.</w:t>
      </w:r>
    </w:p>
    <w:p>
      <w:pPr>
        <w:pStyle w:val="Heading2"/>
        <w:spacing w:after="150" w:before="300"/>
      </w:pPr>
      <w:r>
        <w:t xml:space="preserve">6.4. Ieșiri — vânzarea către credincioși</w:t>
      </w:r>
    </w:p>
    <w:p>
      <w:pPr>
        <w:spacing w:after="160"/>
      </w:pPr>
      <w:r>
        <w:t xml:space="preserve">„Pangar” → „Ieșiri” → „Creează vânzare” înregistrează o vânzare, cu una sau mai multe linii de produse.</w:t>
      </w:r>
    </w:p>
    <w:p>
      <w:pPr>
        <w:spacing w:after="160"/>
      </w:pPr>
      <w:r>
        <w:rPr>
          <w:b/>
          <w:bCs/>
        </w:rPr>
        <w:t xml:space="preserve">Câmpurile formularului de vânzare:</w:t>
      </w:r>
    </w:p>
    <w:p>
      <w:pPr>
        <w:pStyle w:val="ListParagraph"/>
        <w:numPr>
          <w:ilvl w:val="0"/>
          <w:numId w:val="2"/>
        </w:numPr>
        <w:spacing w:after="80"/>
      </w:pPr>
      <w:r>
        <w:t xml:space="preserve">Data</w:t>
      </w:r>
    </w:p>
    <w:p>
      <w:pPr>
        <w:pStyle w:val="ListParagraph"/>
        <w:numPr>
          <w:ilvl w:val="0"/>
          <w:numId w:val="2"/>
        </w:numPr>
        <w:spacing w:after="80"/>
      </w:pPr>
      <w:r>
        <w:t xml:space="preserve">Sursa încasării (numerar/bancă)</w:t>
      </w:r>
    </w:p>
    <w:p>
      <w:pPr>
        <w:pStyle w:val="ListParagraph"/>
        <w:numPr>
          <w:ilvl w:val="0"/>
          <w:numId w:val="2"/>
        </w:numPr>
        <w:spacing w:after="80"/>
      </w:pPr>
      <w:r>
        <w:t xml:space="preserve">Serie și Număr chitanță</w:t>
      </w:r>
    </w:p>
    <w:p>
      <w:pPr>
        <w:pStyle w:val="ListParagraph"/>
        <w:numPr>
          <w:ilvl w:val="0"/>
          <w:numId w:val="2"/>
        </w:numPr>
        <w:spacing w:after="80"/>
      </w:pPr>
      <w:r>
        <w:t xml:space="preserve">Pentru fiecare produs: Suma încasată și Cantitatea</w:t>
      </w:r>
    </w:p>
    <w:p>
      <w:pPr>
        <w:pBdr>
          <w:left w:val="single" w:color="B8860B" w:sz="18" w:space="8"/>
        </w:pBdr>
        <w:spacing w:after="200" w:before="100"/>
        <w:ind w:left="200"/>
      </w:pPr>
      <w:r>
        <w:rPr>
          <w:b/>
          <w:bCs/>
          <w:color w:val="B8860B"/>
        </w:rPr>
        <w:t xml:space="preserve">Notă: </w:t>
      </w:r>
      <w:r>
        <w:t xml:space="preserve">La un produs cu mai multe variante de preț (loturi recepționate la prețuri diferite în timp), descărcarea din stoc la vânzare se face automat în ordinea FIFO (primul intrat, primul ieșit) — nu trebuie aleasă manual varianta de preț.</w:t>
      </w:r>
    </w:p>
    <w:p>
      <w:pPr>
        <w:spacing w:after="160"/>
      </w:pPr>
      <w:r>
        <w:t xml:space="preserve">„Tablou vânzări” centralizează toate vânzările, cu aceleași opțiuni de filtrare.</w:t>
      </w:r>
    </w:p>
    <w:p>
      <w:pPr>
        <w:pStyle w:val="Heading2"/>
        <w:spacing w:after="150" w:before="300"/>
      </w:pPr>
      <w:r>
        <w:t xml:space="preserve">6.5. Stocuri</w:t>
      </w:r>
    </w:p>
    <w:p>
      <w:pPr>
        <w:spacing w:after="160"/>
      </w:pPr>
      <w:r>
        <w:t xml:space="preserve">Afișează stocul curent al fiecărui produs (pe fiecare variantă de preț), cu evidențierea produselor sub pragul minim de stoc — aceleași alerte care apar și pe Tabloul de bord.</w:t>
      </w:r>
    </w:p>
    <w:p>
      <w:pPr>
        <w:pStyle w:val="Heading2"/>
        <w:spacing w:after="150" w:before="300"/>
      </w:pPr>
      <w:r>
        <w:t xml:space="preserve">6.6. Rapoarte Pangar</w:t>
      </w:r>
    </w:p>
    <w:p>
      <w:pPr>
        <w:pStyle w:val="ListParagraph"/>
        <w:numPr>
          <w:ilvl w:val="0"/>
          <w:numId w:val="2"/>
        </w:numPr>
        <w:spacing w:after="80"/>
      </w:pPr>
      <w:r>
        <w:t xml:space="preserve">Rapoarte generale — sinteze pe perioadă, categorie și produs</w:t>
      </w:r>
    </w:p>
    <w:p>
      <w:pPr>
        <w:pStyle w:val="ListParagraph"/>
        <w:numPr>
          <w:ilvl w:val="0"/>
          <w:numId w:val="2"/>
        </w:numPr>
        <w:spacing w:after="80"/>
      </w:pPr>
      <w:r>
        <w:t xml:space="preserve">Note de Recepție (NRCD) — listarea/reimprimarea recepțiilor emise</w:t>
      </w:r>
    </w:p>
    <w:p>
      <w:pPr>
        <w:pStyle w:val="ListParagraph"/>
        <w:numPr>
          <w:ilvl w:val="0"/>
          <w:numId w:val="2"/>
        </w:numPr>
        <w:spacing w:after="80"/>
      </w:pPr>
      <w:r>
        <w:t xml:space="preserve">Rapoarte vânzări — listarea/reimprimarea vânzărilor emise</w:t>
      </w:r>
    </w:p>
    <w:p>
      <w:pPr>
        <w:pStyle w:val="Heading1"/>
        <w:spacing w:after="200" w:before="400"/>
      </w:pPr>
      <w:r>
        <w:t xml:space="preserve">7. Consum intern &amp; Filantropie</w:t>
      </w:r>
    </w:p>
    <w:p>
      <w:pPr>
        <w:spacing w:after="160"/>
      </w:pPr>
      <w:r>
        <w:t xml:space="preserve">Ține evidența articolelor folosite intern (materiale de curățenie, birotică, obiecte pentru filantropie etc.) — separat de Pangar, care ține evidența produselor destinate vânzării.</w:t>
      </w:r>
    </w:p>
    <w:p>
      <w:pPr>
        <w:pStyle w:val="Heading2"/>
        <w:spacing w:after="150" w:before="300"/>
      </w:pPr>
      <w:r>
        <w:t xml:space="preserve">7.1. Nomenclator</w:t>
      </w:r>
    </w:p>
    <w:p>
      <w:pPr>
        <w:spacing w:after="160"/>
      </w:pPr>
      <w:r>
        <w:t xml:space="preserve">„Consum intern” → „Nomenclator” → „Articol nou” adaugă un articol nou.</w:t>
      </w:r>
    </w:p>
    <w:p>
      <w:pPr>
        <w:spacing w:after="160"/>
      </w:pPr>
      <w:r>
        <w:rPr>
          <w:b/>
          <w:bCs/>
        </w:rPr>
        <w:t xml:space="preserve">Câmpuri:</w:t>
      </w:r>
    </w:p>
    <w:p>
      <w:pPr>
        <w:pStyle w:val="ListParagraph"/>
        <w:numPr>
          <w:ilvl w:val="0"/>
          <w:numId w:val="2"/>
        </w:numPr>
        <w:spacing w:after="80"/>
      </w:pPr>
      <w:r>
        <w:t xml:space="preserve">Denumire</w:t>
      </w:r>
    </w:p>
    <w:p>
      <w:pPr>
        <w:pStyle w:val="ListParagraph"/>
        <w:numPr>
          <w:ilvl w:val="0"/>
          <w:numId w:val="2"/>
        </w:numPr>
        <w:spacing w:after="80"/>
      </w:pPr>
      <w:r>
        <w:t xml:space="preserve">Unitate de măsură</w:t>
      </w:r>
    </w:p>
    <w:p>
      <w:pPr>
        <w:pStyle w:val="Heading2"/>
        <w:spacing w:after="150" w:before="300"/>
      </w:pPr>
      <w:r>
        <w:t xml:space="preserve">7.2. Intrări</w:t>
      </w:r>
    </w:p>
    <w:p>
      <w:pPr>
        <w:spacing w:after="160"/>
      </w:pPr>
      <w:r>
        <w:t xml:space="preserve">„Recepție articole” înregistrează primirea unor articole noi în gestiune.</w:t>
      </w:r>
    </w:p>
    <w:p>
      <w:pPr>
        <w:spacing w:after="160"/>
      </w:pPr>
      <w:r>
        <w:rPr>
          <w:b/>
          <w:bCs/>
        </w:rPr>
        <w:t xml:space="preserve">Câmpurile unei recepții:</w:t>
      </w:r>
    </w:p>
    <w:p>
      <w:pPr>
        <w:pStyle w:val="ListParagraph"/>
        <w:numPr>
          <w:ilvl w:val="0"/>
          <w:numId w:val="2"/>
        </w:numPr>
        <w:spacing w:after="80"/>
      </w:pPr>
      <w:r>
        <w:t xml:space="preserve">Data recepției</w:t>
      </w:r>
    </w:p>
    <w:p>
      <w:pPr>
        <w:pStyle w:val="ListParagraph"/>
        <w:numPr>
          <w:ilvl w:val="0"/>
          <w:numId w:val="2"/>
        </w:numPr>
        <w:spacing w:after="80"/>
      </w:pPr>
      <w:r>
        <w:t xml:space="preserve">Pentru fiecare linie: Articolul, Cantitatea și Costul pe unitate (lei)</w:t>
      </w:r>
    </w:p>
    <w:p>
      <w:pPr>
        <w:spacing w:after="160"/>
      </w:pPr>
      <w:r>
        <w:t xml:space="preserve">„Stoc inițial” înregistrează stocul de pornire, similar cu Pangarul.</w:t>
      </w:r>
    </w:p>
    <w:p>
      <w:pPr>
        <w:pStyle w:val="Heading2"/>
        <w:spacing w:after="150" w:before="300"/>
      </w:pPr>
      <w:r>
        <w:t xml:space="preserve">7.3. Ieșiri — Bonuri de consum</w:t>
      </w:r>
    </w:p>
    <w:p>
      <w:pPr>
        <w:spacing w:after="160"/>
      </w:pPr>
      <w:r>
        <w:t xml:space="preserve">„Bon de consum nou” înregistrează scoaterea din gestiune a unor articole, pentru consum intern sau scop filantropic.</w:t>
      </w:r>
    </w:p>
    <w:p>
      <w:pPr>
        <w:spacing w:after="160"/>
      </w:pPr>
      <w:r>
        <w:rPr>
          <w:b/>
          <w:bCs/>
        </w:rPr>
        <w:t xml:space="preserve">Câmpurile unui bon de consum:</w:t>
      </w:r>
    </w:p>
    <w:p>
      <w:pPr>
        <w:pStyle w:val="ListParagraph"/>
        <w:numPr>
          <w:ilvl w:val="0"/>
          <w:numId w:val="2"/>
        </w:numPr>
        <w:spacing w:after="80"/>
      </w:pPr>
      <w:r>
        <w:t xml:space="preserve">Data</w:t>
      </w:r>
    </w:p>
    <w:p>
      <w:pPr>
        <w:pStyle w:val="ListParagraph"/>
        <w:numPr>
          <w:ilvl w:val="0"/>
          <w:numId w:val="2"/>
        </w:numPr>
        <w:spacing w:after="80"/>
      </w:pPr>
      <w:r>
        <w:t xml:space="preserve">Motivul descărcării</w:t>
      </w:r>
    </w:p>
    <w:p>
      <w:pPr>
        <w:pStyle w:val="ListParagraph"/>
        <w:numPr>
          <w:ilvl w:val="0"/>
          <w:numId w:val="2"/>
        </w:numPr>
        <w:spacing w:after="80"/>
      </w:pPr>
      <w:r>
        <w:t xml:space="preserve">Beneficiarul</w:t>
      </w:r>
    </w:p>
    <w:p>
      <w:pPr>
        <w:pStyle w:val="ListParagraph"/>
        <w:numPr>
          <w:ilvl w:val="0"/>
          <w:numId w:val="2"/>
        </w:numPr>
        <w:spacing w:after="80"/>
      </w:pPr>
      <w:r>
        <w:t xml:space="preserve">Pentru fiecare linie: Articolul și Cantitatea</w:t>
      </w:r>
    </w:p>
    <w:p>
      <w:pPr>
        <w:pStyle w:val="Heading2"/>
        <w:spacing w:after="150" w:before="300"/>
      </w:pPr>
      <w:r>
        <w:t xml:space="preserve">7.4. Rapoarte Consum intern</w:t>
      </w:r>
    </w:p>
    <w:p>
      <w:pPr>
        <w:pStyle w:val="ListParagraph"/>
        <w:numPr>
          <w:ilvl w:val="0"/>
          <w:numId w:val="2"/>
        </w:numPr>
        <w:spacing w:after="80"/>
      </w:pPr>
      <w:r>
        <w:t xml:space="preserve">Rapoarte generale — sinteze pe perioadă</w:t>
      </w:r>
    </w:p>
    <w:p>
      <w:pPr>
        <w:pStyle w:val="ListParagraph"/>
        <w:numPr>
          <w:ilvl w:val="0"/>
          <w:numId w:val="2"/>
        </w:numPr>
        <w:spacing w:after="80"/>
      </w:pPr>
      <w:r>
        <w:t xml:space="preserve">Navigator bonuri — căutare și reimprimare a bonurilor de consum emise</w:t>
      </w:r>
    </w:p>
    <w:p>
      <w:r>
        <w:br w:type="page"/>
      </w:r>
    </w:p>
    <w:p>
      <w:pPr>
        <w:pStyle w:val="Heading1"/>
        <w:spacing w:after="200" w:before="400"/>
      </w:pPr>
      <w:r>
        <w:t xml:space="preserve">8. Inventar</w:t>
      </w:r>
    </w:p>
    <w:p>
      <w:pPr>
        <w:spacing w:after="160"/>
      </w:pPr>
      <w:r>
        <w:t xml:space="preserve">Ține evidența bunurilor de patrimoniu ale parohiei (obiecte de cult, mobilier, echipamente, imobile etc.).</w:t>
      </w:r>
    </w:p>
    <w:p>
      <w:pPr>
        <w:pStyle w:val="Heading2"/>
        <w:spacing w:after="150" w:before="300"/>
      </w:pPr>
      <w:r>
        <w:t xml:space="preserve">8.1. Nomenclator — bunuri de patrimoniu</w:t>
      </w:r>
    </w:p>
    <w:p>
      <w:pPr>
        <w:spacing w:after="160"/>
      </w:pPr>
      <w:r>
        <w:t xml:space="preserve">„Inventar” → „Nomenclator” → „Bun nou” adaugă un bun în evidență.</w:t>
      </w:r>
    </w:p>
    <w:p>
      <w:pPr>
        <w:spacing w:after="160"/>
      </w:pPr>
      <w:r>
        <w:rPr>
          <w:b/>
          <w:bCs/>
        </w:rPr>
        <w:t xml:space="preserve">Câmpurile unui bun de patrimoniu:</w:t>
      </w:r>
    </w:p>
    <w:p>
      <w:pPr>
        <w:pStyle w:val="ListParagraph"/>
        <w:numPr>
          <w:ilvl w:val="0"/>
          <w:numId w:val="2"/>
        </w:numPr>
        <w:spacing w:after="80"/>
      </w:pPr>
      <w:r>
        <w:t xml:space="preserve">Denumire</w:t>
      </w:r>
    </w:p>
    <w:p>
      <w:pPr>
        <w:pStyle w:val="ListParagraph"/>
        <w:numPr>
          <w:ilvl w:val="0"/>
          <w:numId w:val="2"/>
        </w:numPr>
        <w:spacing w:after="80"/>
      </w:pPr>
      <w:r>
        <w:t xml:space="preserve">Categorie</w:t>
      </w:r>
    </w:p>
    <w:p>
      <w:pPr>
        <w:pStyle w:val="ListParagraph"/>
        <w:numPr>
          <w:ilvl w:val="0"/>
          <w:numId w:val="2"/>
        </w:numPr>
        <w:spacing w:after="80"/>
      </w:pPr>
      <w:r>
        <w:t xml:space="preserve">Sursă (modul de dobândire — achiziție, donație etc.)</w:t>
      </w:r>
    </w:p>
    <w:p>
      <w:pPr>
        <w:pStyle w:val="ListParagraph"/>
        <w:numPr>
          <w:ilvl w:val="0"/>
          <w:numId w:val="2"/>
        </w:numPr>
        <w:spacing w:after="80"/>
      </w:pPr>
      <w:r>
        <w:t xml:space="preserve">Data intrării</w:t>
      </w:r>
    </w:p>
    <w:p>
      <w:pPr>
        <w:pStyle w:val="ListParagraph"/>
        <w:numPr>
          <w:ilvl w:val="0"/>
          <w:numId w:val="2"/>
        </w:numPr>
        <w:spacing w:after="80"/>
      </w:pPr>
      <w:r>
        <w:t xml:space="preserve">Valoare (lei)</w:t>
      </w:r>
    </w:p>
    <w:p>
      <w:pPr>
        <w:pStyle w:val="ListParagraph"/>
        <w:numPr>
          <w:ilvl w:val="0"/>
          <w:numId w:val="2"/>
        </w:numPr>
        <w:spacing w:after="80"/>
      </w:pPr>
      <w:r>
        <w:t xml:space="preserve">Mod de plată</w:t>
      </w:r>
    </w:p>
    <w:p>
      <w:pPr>
        <w:pStyle w:val="ListParagraph"/>
        <w:numPr>
          <w:ilvl w:val="0"/>
          <w:numId w:val="2"/>
        </w:numPr>
        <w:spacing w:after="80"/>
      </w:pPr>
      <w:r>
        <w:t xml:space="preserve">Locație în cadrul lăcașului</w:t>
      </w:r>
    </w:p>
    <w:p>
      <w:pPr>
        <w:pStyle w:val="ListParagraph"/>
        <w:numPr>
          <w:ilvl w:val="0"/>
          <w:numId w:val="2"/>
        </w:numPr>
        <w:spacing w:after="80"/>
      </w:pPr>
      <w:r>
        <w:t xml:space="preserve">Referință foto — obligatorie pentru bunurile peste un anumit prag valoric</w:t>
      </w:r>
    </w:p>
    <w:p>
      <w:pPr>
        <w:pStyle w:val="ListParagraph"/>
        <w:numPr>
          <w:ilvl w:val="0"/>
          <w:numId w:val="2"/>
        </w:numPr>
        <w:spacing w:after="80"/>
      </w:pPr>
      <w:r>
        <w:t xml:space="preserve">Note istorice/patrimoniale (opțional)</w:t>
      </w:r>
    </w:p>
    <w:p>
      <w:pPr>
        <w:pStyle w:val="Heading2"/>
        <w:spacing w:after="150" w:before="300"/>
      </w:pPr>
      <w:r>
        <w:t xml:space="preserve">8.2. Casarea unui bun</w:t>
      </w:r>
    </w:p>
    <w:p>
      <w:pPr>
        <w:spacing w:after="160"/>
      </w:pPr>
      <w:r>
        <w:t xml:space="preserve">Un bun care nu mai este utilizabil (deteriorat, pierdut, înlocuit) se poate casa — scoate din evidența activă — direct de pe fișa lui, cu:</w:t>
      </w:r>
    </w:p>
    <w:p>
      <w:pPr>
        <w:spacing w:after="160"/>
      </w:pPr>
      <w:r>
        <w:rPr>
          <w:b/>
          <w:bCs/>
        </w:rPr>
        <w:t xml:space="preserve">Câmpuri:</w:t>
      </w:r>
    </w:p>
    <w:p>
      <w:pPr>
        <w:pStyle w:val="ListParagraph"/>
        <w:numPr>
          <w:ilvl w:val="0"/>
          <w:numId w:val="2"/>
        </w:numPr>
        <w:spacing w:after="80"/>
      </w:pPr>
      <w:r>
        <w:t xml:space="preserve">Motivul casării (obligatoriu)</w:t>
      </w:r>
    </w:p>
    <w:p>
      <w:pPr>
        <w:pStyle w:val="ListParagraph"/>
        <w:numPr>
          <w:ilvl w:val="0"/>
          <w:numId w:val="2"/>
        </w:numPr>
        <w:spacing w:after="80"/>
      </w:pPr>
      <w:r>
        <w:t xml:space="preserve">Aprobat de (numele Preotului paroh/Administratorului)</w:t>
      </w:r>
    </w:p>
    <w:p>
      <w:pPr>
        <w:pBdr>
          <w:left w:val="single" w:color="B8860B" w:sz="18" w:space="8"/>
        </w:pBdr>
        <w:spacing w:after="200" w:before="100"/>
        <w:ind w:left="200"/>
      </w:pPr>
      <w:r>
        <w:rPr>
          <w:b/>
          <w:bCs/>
          <w:color w:val="B8860B"/>
        </w:rPr>
        <w:t xml:space="preserve">Notă: </w:t>
      </w:r>
      <w:r>
        <w:t xml:space="preserve">Bunul casat rămâne vizibil în istoric, dar nu mai apare în lista bunurilor active și nu mai intră în inventarierea anuală curentă.</w:t>
      </w:r>
    </w:p>
    <w:p>
      <w:pPr>
        <w:pStyle w:val="Heading2"/>
        <w:spacing w:after="150" w:before="300"/>
      </w:pPr>
      <w:r>
        <w:t xml:space="preserve">8.3. Inventarierea anuală</w:t>
      </w:r>
    </w:p>
    <w:p>
      <w:pPr>
        <w:spacing w:after="160"/>
      </w:pPr>
      <w:r>
        <w:t xml:space="preserve">„Rapoarte Inventar” → „Inventariere anuală” generează un proces-verbal de inventariere pentru bunurile active la acel moment, cu data inventarierii și observații generale opționale.</w:t>
      </w:r>
    </w:p>
    <w:p>
      <w:pPr>
        <w:spacing w:after="160"/>
      </w:pPr>
      <w:r>
        <w:t xml:space="preserve">„Navigator procese-verbale” permite consultarea și reimprimarea proceselor-verbale de inventariere din anii anteriori.</w:t>
      </w:r>
    </w:p>
    <w:p>
      <w:r>
        <w:br w:type="page"/>
      </w:r>
    </w:p>
    <w:p>
      <w:pPr>
        <w:pStyle w:val="Heading1"/>
        <w:spacing w:after="200" w:before="400"/>
      </w:pPr>
      <w:r>
        <w:t xml:space="preserve">9. Cimitir</w:t>
      </w:r>
    </w:p>
    <w:p>
      <w:pPr>
        <w:pBdr>
          <w:left w:val="single" w:color="B8860B" w:sz="18" w:space="8"/>
        </w:pBdr>
        <w:spacing w:after="200" w:before="100"/>
        <w:ind w:left="200"/>
      </w:pPr>
      <w:r>
        <w:rPr>
          <w:b/>
          <w:bCs/>
          <w:color w:val="B8860B"/>
        </w:rPr>
        <w:t xml:space="preserve">Notă: </w:t>
      </w:r>
      <w:r>
        <w:t xml:space="preserve">Modulul Cimitir apare în meniu doar pentru parohiile care au bifat, în „Date parohie”, că administrează un cimitir.</w:t>
      </w:r>
    </w:p>
    <w:p>
      <w:pPr>
        <w:spacing w:after="160"/>
      </w:pPr>
      <w:r>
        <w:t xml:space="preserve">Ține evidența locurilor de înhumare, a concesiunilor și a persoanelor înhumate.</w:t>
      </w:r>
    </w:p>
    <w:p>
      <w:pPr>
        <w:pStyle w:val="Heading2"/>
        <w:spacing w:after="150" w:before="300"/>
      </w:pPr>
      <w:r>
        <w:t xml:space="preserve">9.1. Locuri de înhumare</w:t>
      </w:r>
    </w:p>
    <w:p>
      <w:pPr>
        <w:spacing w:after="160"/>
      </w:pPr>
      <w:r>
        <w:t xml:space="preserve">„Loc nou” adaugă un loc de înhumare, identificat printr-un cod de parcelă.</w:t>
      </w:r>
    </w:p>
    <w:p>
      <w:pPr>
        <w:pStyle w:val="Heading2"/>
        <w:spacing w:after="150" w:before="300"/>
      </w:pPr>
      <w:r>
        <w:t xml:space="preserve">9.2. Concesiuni</w:t>
      </w:r>
    </w:p>
    <w:p>
      <w:pPr>
        <w:spacing w:after="160"/>
      </w:pPr>
      <w:r>
        <w:t xml:space="preserve">Fiecare loc poate avea o concesiune activă, pe numele unui concesionar în viață.</w:t>
      </w:r>
    </w:p>
    <w:p>
      <w:pPr>
        <w:spacing w:after="160"/>
      </w:pPr>
      <w:r>
        <w:rPr>
          <w:b/>
          <w:bCs/>
        </w:rPr>
        <w:t xml:space="preserve">Câmpurile unei concesiuni:</w:t>
      </w:r>
    </w:p>
    <w:p>
      <w:pPr>
        <w:pStyle w:val="ListParagraph"/>
        <w:numPr>
          <w:ilvl w:val="0"/>
          <w:numId w:val="2"/>
        </w:numPr>
        <w:spacing w:after="80"/>
      </w:pPr>
      <w:r>
        <w:t xml:space="preserve">Concesionar (persoană vie)</w:t>
      </w:r>
    </w:p>
    <w:p>
      <w:pPr>
        <w:pStyle w:val="ListParagraph"/>
        <w:numPr>
          <w:ilvl w:val="0"/>
          <w:numId w:val="2"/>
        </w:numPr>
        <w:spacing w:after="80"/>
      </w:pPr>
      <w:r>
        <w:t xml:space="preserve">Durata concesiunii — 7 ani, 25 ani sau pe veci</w:t>
      </w:r>
    </w:p>
    <w:p>
      <w:pPr>
        <w:pStyle w:val="ListParagraph"/>
        <w:numPr>
          <w:ilvl w:val="0"/>
          <w:numId w:val="2"/>
        </w:numPr>
        <w:spacing w:after="80"/>
      </w:pPr>
      <w:r>
        <w:t xml:space="preserve">Data începerii</w:t>
      </w:r>
    </w:p>
    <w:p>
      <w:pPr>
        <w:pStyle w:val="ListParagraph"/>
        <w:numPr>
          <w:ilvl w:val="0"/>
          <w:numId w:val="2"/>
        </w:numPr>
        <w:spacing w:after="80"/>
      </w:pPr>
      <w:r>
        <w:t xml:space="preserve">Sursa încasării</w:t>
      </w:r>
    </w:p>
    <w:p>
      <w:pPr>
        <w:spacing w:after="160"/>
      </w:pPr>
      <w:r>
        <w:t xml:space="preserve">O concesiune poate fi ulterior reînnoită sau transferată către un alt concesionar, din ecranele dedicate.</w:t>
      </w:r>
    </w:p>
    <w:p>
      <w:pPr>
        <w:spacing w:after="160"/>
      </w:pPr>
      <w:r>
        <w:rPr>
          <w:b/>
          <w:bCs/>
        </w:rPr>
        <w:t xml:space="preserve">Reînnoirea unei concesiuni:</w:t>
      </w:r>
    </w:p>
    <w:p>
      <w:pPr>
        <w:pStyle w:val="ListParagraph"/>
        <w:numPr>
          <w:ilvl w:val="0"/>
          <w:numId w:val="2"/>
        </w:numPr>
        <w:spacing w:after="80"/>
      </w:pPr>
      <w:r>
        <w:t xml:space="preserve">Concesionar</w:t>
      </w:r>
    </w:p>
    <w:p>
      <w:pPr>
        <w:pStyle w:val="ListParagraph"/>
        <w:numPr>
          <w:ilvl w:val="0"/>
          <w:numId w:val="2"/>
        </w:numPr>
        <w:spacing w:after="80"/>
      </w:pPr>
      <w:r>
        <w:t xml:space="preserve">Durată (nouă)</w:t>
      </w:r>
    </w:p>
    <w:p>
      <w:pPr>
        <w:pStyle w:val="ListParagraph"/>
        <w:numPr>
          <w:ilvl w:val="0"/>
          <w:numId w:val="2"/>
        </w:numPr>
        <w:spacing w:after="80"/>
      </w:pPr>
      <w:r>
        <w:t xml:space="preserve">Data (noii perioade)</w:t>
      </w:r>
    </w:p>
    <w:p>
      <w:pPr>
        <w:pStyle w:val="ListParagraph"/>
        <w:numPr>
          <w:ilvl w:val="0"/>
          <w:numId w:val="2"/>
        </w:numPr>
        <w:spacing w:after="80"/>
      </w:pPr>
      <w:r>
        <w:t xml:space="preserve">Tarif (lei)</w:t>
      </w:r>
    </w:p>
    <w:p>
      <w:pPr>
        <w:spacing w:after="160"/>
      </w:pPr>
      <w:r>
        <w:rPr>
          <w:b/>
          <w:bCs/>
        </w:rPr>
        <w:t xml:space="preserve">Transferul unei concesiuni către alt concesionar:</w:t>
      </w:r>
    </w:p>
    <w:p>
      <w:pPr>
        <w:pStyle w:val="ListParagraph"/>
        <w:numPr>
          <w:ilvl w:val="0"/>
          <w:numId w:val="2"/>
        </w:numPr>
        <w:spacing w:after="80"/>
      </w:pPr>
      <w:r>
        <w:t xml:space="preserve">Data noii perioade</w:t>
      </w:r>
    </w:p>
    <w:p>
      <w:pPr>
        <w:pStyle w:val="ListParagraph"/>
        <w:numPr>
          <w:ilvl w:val="0"/>
          <w:numId w:val="2"/>
        </w:numPr>
        <w:spacing w:after="80"/>
      </w:pPr>
      <w:r>
        <w:t xml:space="preserve">Sursa încasării</w:t>
      </w:r>
    </w:p>
    <w:p>
      <w:pPr>
        <w:pStyle w:val="ListParagraph"/>
        <w:numPr>
          <w:ilvl w:val="0"/>
          <w:numId w:val="2"/>
        </w:numPr>
        <w:spacing w:after="80"/>
      </w:pPr>
      <w:r>
        <w:t xml:space="preserve">Noul concesionar</w:t>
      </w:r>
    </w:p>
    <w:p>
      <w:pPr>
        <w:pStyle w:val="ListParagraph"/>
        <w:numPr>
          <w:ilvl w:val="0"/>
          <w:numId w:val="2"/>
        </w:numPr>
        <w:spacing w:after="80"/>
      </w:pPr>
      <w:r>
        <w:t xml:space="preserve">Document justificativ (referință)</w:t>
      </w:r>
    </w:p>
    <w:p>
      <w:pPr>
        <w:pStyle w:val="Heading2"/>
        <w:spacing w:after="150" w:before="300"/>
      </w:pPr>
      <w:r>
        <w:t xml:space="preserve">9.3. Persoane înhumate</w:t>
      </w:r>
    </w:p>
    <w:p>
      <w:pPr>
        <w:spacing w:after="160"/>
      </w:pPr>
      <w:r>
        <w:t xml:space="preserve">„Persoană înhumată” înregistrează o înhumare pe un loc existent.</w:t>
      </w:r>
    </w:p>
    <w:p>
      <w:pPr>
        <w:spacing w:after="160"/>
      </w:pPr>
      <w:r>
        <w:rPr>
          <w:b/>
          <w:bCs/>
        </w:rPr>
        <w:t xml:space="preserve">Câmpuri:</w:t>
      </w:r>
    </w:p>
    <w:p>
      <w:pPr>
        <w:pStyle w:val="ListParagraph"/>
        <w:numPr>
          <w:ilvl w:val="0"/>
          <w:numId w:val="2"/>
        </w:numPr>
        <w:spacing w:after="80"/>
      </w:pPr>
      <w:r>
        <w:t xml:space="preserve">Loc de înhumare</w:t>
      </w:r>
    </w:p>
    <w:p>
      <w:pPr>
        <w:pStyle w:val="ListParagraph"/>
        <w:numPr>
          <w:ilvl w:val="0"/>
          <w:numId w:val="2"/>
        </w:numPr>
        <w:spacing w:after="80"/>
      </w:pPr>
      <w:r>
        <w:t xml:space="preserve">Nume și prenume</w:t>
      </w:r>
    </w:p>
    <w:p>
      <w:pPr>
        <w:pStyle w:val="ListParagraph"/>
        <w:numPr>
          <w:ilvl w:val="0"/>
          <w:numId w:val="2"/>
        </w:numPr>
        <w:spacing w:after="80"/>
      </w:pPr>
      <w:r>
        <w:t xml:space="preserve">Data nașterii</w:t>
      </w:r>
    </w:p>
    <w:p>
      <w:pPr>
        <w:pStyle w:val="ListParagraph"/>
        <w:numPr>
          <w:ilvl w:val="0"/>
          <w:numId w:val="2"/>
        </w:numPr>
        <w:spacing w:after="80"/>
      </w:pPr>
      <w:r>
        <w:t xml:space="preserve">Data decesului</w:t>
      </w:r>
    </w:p>
    <w:p>
      <w:pPr>
        <w:pStyle w:val="ListParagraph"/>
        <w:numPr>
          <w:ilvl w:val="0"/>
          <w:numId w:val="2"/>
        </w:numPr>
        <w:spacing w:after="80"/>
      </w:pPr>
      <w:r>
        <w:t xml:space="preserve">Data înhumării</w:t>
      </w:r>
    </w:p>
    <w:p>
      <w:pPr>
        <w:pStyle w:val="Heading2"/>
        <w:spacing w:after="150" w:before="300"/>
      </w:pPr>
      <w:r>
        <w:t xml:space="preserve">9.4. Tarife</w:t>
      </w:r>
    </w:p>
    <w:p>
      <w:pPr>
        <w:spacing w:after="160"/>
      </w:pPr>
      <w:r>
        <w:t xml:space="preserve">„Tarife” stabilește tariful de concesiune pentru fiecare durată disponibilă (7 ani, 25 ani, pe veci) — folosit ca valoare implicită la înregistrarea unei concesiuni noi.</w:t>
      </w:r>
    </w:p>
    <w:p>
      <w:pPr>
        <w:pStyle w:val="Heading1"/>
        <w:spacing w:after="200" w:before="400"/>
      </w:pPr>
      <w:r>
        <w:t xml:space="preserve">10. Corespondență &amp; Arhivă</w:t>
      </w:r>
    </w:p>
    <w:p>
      <w:pPr>
        <w:spacing w:after="160"/>
      </w:pPr>
      <w:r>
        <w:t xml:space="preserve">Ține registrul de intrări/ieșiri al corespondenței parohiei și arhiva de documente.</w:t>
      </w:r>
    </w:p>
    <w:p>
      <w:pPr>
        <w:pStyle w:val="Heading2"/>
        <w:spacing w:after="150" w:before="300"/>
      </w:pPr>
      <w:r>
        <w:t xml:space="preserve">10.1. Înregistrare — Intrare</w:t>
      </w:r>
    </w:p>
    <w:p>
      <w:pPr>
        <w:spacing w:after="160"/>
      </w:pPr>
      <w:r>
        <w:t xml:space="preserve">„Înregistrare nouă — Intrare” înregistrează un document primit.</w:t>
      </w:r>
    </w:p>
    <w:p>
      <w:pPr>
        <w:spacing w:after="160"/>
      </w:pPr>
      <w:r>
        <w:rPr>
          <w:b/>
          <w:bCs/>
        </w:rPr>
        <w:t xml:space="preserve">Câmpuri:</w:t>
      </w:r>
    </w:p>
    <w:p>
      <w:pPr>
        <w:pStyle w:val="ListParagraph"/>
        <w:numPr>
          <w:ilvl w:val="0"/>
          <w:numId w:val="2"/>
        </w:numPr>
        <w:spacing w:after="80"/>
      </w:pPr>
      <w:r>
        <w:t xml:space="preserve">Data</w:t>
      </w:r>
    </w:p>
    <w:p>
      <w:pPr>
        <w:pStyle w:val="ListParagraph"/>
        <w:numPr>
          <w:ilvl w:val="0"/>
          <w:numId w:val="2"/>
        </w:numPr>
        <w:spacing w:after="80"/>
      </w:pPr>
      <w:r>
        <w:t xml:space="preserve">Mod de primire — Poștă, E-mail sau Depunere directă</w:t>
      </w:r>
    </w:p>
    <w:p>
      <w:pPr>
        <w:pStyle w:val="ListParagraph"/>
        <w:numPr>
          <w:ilvl w:val="0"/>
          <w:numId w:val="2"/>
        </w:numPr>
        <w:spacing w:after="80"/>
      </w:pPr>
      <w:r>
        <w:t xml:space="preserve">Expeditor</w:t>
      </w:r>
    </w:p>
    <w:p>
      <w:pPr>
        <w:pStyle w:val="ListParagraph"/>
        <w:numPr>
          <w:ilvl w:val="0"/>
          <w:numId w:val="2"/>
        </w:numPr>
        <w:spacing w:after="80"/>
      </w:pPr>
      <w:r>
        <w:t xml:space="preserve">Obiect</w:t>
      </w:r>
    </w:p>
    <w:p>
      <w:pPr>
        <w:pStyle w:val="ListParagraph"/>
        <w:numPr>
          <w:ilvl w:val="0"/>
          <w:numId w:val="2"/>
        </w:numPr>
        <w:spacing w:after="80"/>
      </w:pPr>
      <w:r>
        <w:t xml:space="preserve">Termen de răspuns (opțional)</w:t>
      </w:r>
    </w:p>
    <w:p>
      <w:pPr>
        <w:pStyle w:val="Heading2"/>
        <w:spacing w:after="150" w:before="300"/>
      </w:pPr>
      <w:r>
        <w:t xml:space="preserve">10.2. Înregistrare — Ieșire</w:t>
      </w:r>
    </w:p>
    <w:p>
      <w:pPr>
        <w:spacing w:after="160"/>
      </w:pPr>
      <w:r>
        <w:t xml:space="preserve">„Înregistrare nouă — Ieșire” înregistrează un document expediat, opțional ca răspuns la o intrare existentă.</w:t>
      </w:r>
    </w:p>
    <w:p>
      <w:pPr>
        <w:spacing w:after="160"/>
      </w:pPr>
      <w:r>
        <w:rPr>
          <w:b/>
          <w:bCs/>
        </w:rPr>
        <w:t xml:space="preserve">Câmpuri:</w:t>
      </w:r>
    </w:p>
    <w:p>
      <w:pPr>
        <w:pStyle w:val="ListParagraph"/>
        <w:numPr>
          <w:ilvl w:val="0"/>
          <w:numId w:val="2"/>
        </w:numPr>
        <w:spacing w:after="80"/>
      </w:pPr>
      <w:r>
        <w:t xml:space="preserve">Data</w:t>
      </w:r>
    </w:p>
    <w:p>
      <w:pPr>
        <w:pStyle w:val="ListParagraph"/>
        <w:numPr>
          <w:ilvl w:val="0"/>
          <w:numId w:val="2"/>
        </w:numPr>
        <w:spacing w:after="80"/>
      </w:pPr>
      <w:r>
        <w:t xml:space="preserve">Destinatar</w:t>
      </w:r>
    </w:p>
    <w:p>
      <w:pPr>
        <w:pStyle w:val="ListParagraph"/>
        <w:numPr>
          <w:ilvl w:val="0"/>
          <w:numId w:val="2"/>
        </w:numPr>
        <w:spacing w:after="80"/>
      </w:pPr>
      <w:r>
        <w:t xml:space="preserve">Obiect</w:t>
      </w:r>
    </w:p>
    <w:p>
      <w:pPr>
        <w:pStyle w:val="ListParagraph"/>
        <w:numPr>
          <w:ilvl w:val="0"/>
          <w:numId w:val="2"/>
        </w:numPr>
        <w:spacing w:after="80"/>
      </w:pPr>
      <w:r>
        <w:t xml:space="preserve">Răspuns la (opțional — leagă ieșirea de intrarea la care răspunde)</w:t>
      </w:r>
    </w:p>
    <w:p>
      <w:pPr>
        <w:pStyle w:val="Heading2"/>
        <w:spacing w:after="150" w:before="300"/>
      </w:pPr>
      <w:r>
        <w:t xml:space="preserve">10.3. Arhivă</w:t>
      </w:r>
    </w:p>
    <w:p>
      <w:pPr>
        <w:spacing w:after="160"/>
      </w:pPr>
      <w:r>
        <w:t xml:space="preserve">„Document nou (Arhivă)” înregistrează un document păstrat în arhiva parohiei, fără să fie neapărat o intrare/ieșire de corespondență.</w:t>
      </w:r>
    </w:p>
    <w:p>
      <w:pPr>
        <w:spacing w:after="160"/>
      </w:pPr>
      <w:r>
        <w:rPr>
          <w:b/>
          <w:bCs/>
        </w:rPr>
        <w:t xml:space="preserve">Câmpuri:</w:t>
      </w:r>
    </w:p>
    <w:p>
      <w:pPr>
        <w:pStyle w:val="ListParagraph"/>
        <w:numPr>
          <w:ilvl w:val="0"/>
          <w:numId w:val="2"/>
        </w:numPr>
        <w:spacing w:after="80"/>
      </w:pPr>
      <w:r>
        <w:t xml:space="preserve">Denumire document</w:t>
      </w:r>
    </w:p>
    <w:p>
      <w:pPr>
        <w:pStyle w:val="ListParagraph"/>
        <w:numPr>
          <w:ilvl w:val="0"/>
          <w:numId w:val="2"/>
        </w:numPr>
        <w:spacing w:after="80"/>
      </w:pPr>
      <w:r>
        <w:t xml:space="preserve">Categorie</w:t>
      </w:r>
    </w:p>
    <w:p>
      <w:pPr>
        <w:pStyle w:val="ListParagraph"/>
        <w:numPr>
          <w:ilvl w:val="0"/>
          <w:numId w:val="2"/>
        </w:numPr>
        <w:spacing w:after="80"/>
      </w:pPr>
      <w:r>
        <w:t xml:space="preserve">Note / referință (opțional)</w:t>
      </w:r>
    </w:p>
    <w:p>
      <w:pPr>
        <w:pStyle w:val="Heading2"/>
        <w:spacing w:after="150" w:before="300"/>
      </w:pPr>
      <w:r>
        <w:t xml:space="preserve">10.4. Rapoarte Corespondență</w:t>
      </w:r>
    </w:p>
    <w:p>
      <w:pPr>
        <w:pStyle w:val="ListParagraph"/>
        <w:numPr>
          <w:ilvl w:val="0"/>
          <w:numId w:val="2"/>
        </w:numPr>
        <w:spacing w:after="80"/>
      </w:pPr>
      <w:r>
        <w:t xml:space="preserve">Navigator intrări — căutare în toate intrările înregistrate</w:t>
      </w:r>
    </w:p>
    <w:p>
      <w:pPr>
        <w:pStyle w:val="ListParagraph"/>
        <w:numPr>
          <w:ilvl w:val="0"/>
          <w:numId w:val="2"/>
        </w:numPr>
        <w:spacing w:after="80"/>
      </w:pPr>
      <w:r>
        <w:t xml:space="preserve">Navigator ieșiri — căutare în toate ieșirile înregistrate</w:t>
      </w:r>
    </w:p>
    <w:p>
      <w:r>
        <w:br w:type="page"/>
      </w:r>
    </w:p>
    <w:p>
      <w:pPr>
        <w:pStyle w:val="Heading1"/>
        <w:spacing w:after="200" w:before="400"/>
      </w:pPr>
      <w:r>
        <w:t xml:space="preserve">11. Organisme parohiale</w:t>
      </w:r>
    </w:p>
    <w:p>
      <w:pPr>
        <w:spacing w:after="160"/>
      </w:pPr>
      <w:r>
        <w:t xml:space="preserve">Ține evidența celor trei organisme de conducere ale parohiei: Adunarea parohială, Consiliul parohial și Comitetul parohial.</w:t>
      </w:r>
    </w:p>
    <w:p>
      <w:pPr>
        <w:pStyle w:val="Heading2"/>
        <w:spacing w:after="150" w:before="300"/>
      </w:pPr>
      <w:r>
        <w:t xml:space="preserve">11.1. Adunarea parohială și Consiliul parohial</w:t>
      </w:r>
    </w:p>
    <w:p>
      <w:pPr>
        <w:spacing w:after="160"/>
      </w:pPr>
      <w:r>
        <w:t xml:space="preserve">Ambele au aceeași structură de meniu:</w:t>
      </w:r>
    </w:p>
    <w:p>
      <w:pPr>
        <w:pStyle w:val="Heading3"/>
        <w:spacing w:after="100" w:before="200"/>
      </w:pPr>
      <w:r>
        <w:t xml:space="preserve">Mandate</w:t>
      </w:r>
    </w:p>
    <w:p>
      <w:pPr>
        <w:spacing w:after="160"/>
      </w:pPr>
      <w:r>
        <w:t xml:space="preserve">Un mandat este o perioadă de exercitare (de exemplu, primul mandat înregistrat este 2024–2030, o excepție de 6 ani; mandatele următoare urmează durata legală standard). Mandatele se introduc manual, cu data de început și data de sfârșit — nu sunt generate automat la +4 ani.</w:t>
      </w:r>
    </w:p>
    <w:p>
      <w:pPr>
        <w:pStyle w:val="Heading3"/>
        <w:spacing w:after="100" w:before="200"/>
      </w:pPr>
      <w:r>
        <w:t xml:space="preserve">Componență</w:t>
      </w:r>
    </w:p>
    <w:p>
      <w:pPr>
        <w:spacing w:after="160"/>
      </w:pPr>
      <w:r>
        <w:t xml:space="preserve">Pentru fiecare mandat se înregistrează separat membrii care îl compun:</w:t>
      </w:r>
    </w:p>
    <w:p>
      <w:pPr>
        <w:spacing w:after="160"/>
      </w:pPr>
      <w:r>
        <w:rPr>
          <w:b/>
          <w:bCs/>
        </w:rPr>
        <w:t xml:space="preserve">Câmpurile unui membru:</w:t>
      </w:r>
    </w:p>
    <w:p>
      <w:pPr>
        <w:pStyle w:val="ListParagraph"/>
        <w:numPr>
          <w:ilvl w:val="0"/>
          <w:numId w:val="2"/>
        </w:numPr>
        <w:spacing w:after="80"/>
      </w:pPr>
      <w:r>
        <w:t xml:space="preserve">Nume și prenume</w:t>
      </w:r>
    </w:p>
    <w:p>
      <w:pPr>
        <w:pStyle w:val="ListParagraph"/>
        <w:numPr>
          <w:ilvl w:val="0"/>
          <w:numId w:val="2"/>
        </w:numPr>
        <w:spacing w:after="80"/>
      </w:pPr>
      <w:r>
        <w:t xml:space="preserve">Adresă</w:t>
      </w:r>
    </w:p>
    <w:p>
      <w:pPr>
        <w:pStyle w:val="ListParagraph"/>
        <w:numPr>
          <w:ilvl w:val="0"/>
          <w:numId w:val="2"/>
        </w:numPr>
        <w:spacing w:after="80"/>
      </w:pPr>
      <w:r>
        <w:t xml:space="preserve">Telefon</w:t>
      </w:r>
    </w:p>
    <w:p>
      <w:pPr>
        <w:pStyle w:val="ListParagraph"/>
        <w:numPr>
          <w:ilvl w:val="0"/>
          <w:numId w:val="2"/>
        </w:numPr>
        <w:spacing w:after="80"/>
      </w:pPr>
      <w:r>
        <w:t xml:space="preserve">E-mail</w:t>
      </w:r>
    </w:p>
    <w:p>
      <w:pPr>
        <w:pBdr>
          <w:left w:val="single" w:color="B8860B" w:sz="18" w:space="8"/>
        </w:pBdr>
        <w:spacing w:after="200" w:before="100"/>
        <w:ind w:left="200"/>
      </w:pPr>
      <w:r>
        <w:rPr>
          <w:b/>
          <w:bCs/>
          <w:color w:val="B8860B"/>
        </w:rPr>
        <w:t xml:space="preserve">Notă: </w:t>
      </w:r>
      <w:r>
        <w:t xml:space="preserve">Membrii se introduc independent, ca listă proprie a organismului — nu sunt legați de lista de Parteneri folosită la chitanțe/plăți.</w:t>
      </w:r>
    </w:p>
    <w:p>
      <w:pPr>
        <w:pStyle w:val="Heading3"/>
        <w:spacing w:after="100" w:before="200"/>
      </w:pPr>
      <w:r>
        <w:t xml:space="preserve">Registrul Proceselor-Verbale de ședință</w:t>
      </w:r>
    </w:p>
    <w:p>
      <w:pPr>
        <w:spacing w:after="160"/>
      </w:pPr>
      <w:r>
        <w:t xml:space="preserve">Pentru fiecare mandat se pot înregistra procese-verbale de ședință, ca text simplu (nu se pot atașa fișiere):</w:t>
      </w:r>
    </w:p>
    <w:p>
      <w:pPr>
        <w:spacing w:after="160"/>
      </w:pPr>
      <w:r>
        <w:rPr>
          <w:b/>
          <w:bCs/>
        </w:rPr>
        <w:t xml:space="preserve">Câmpuri:</w:t>
      </w:r>
    </w:p>
    <w:p>
      <w:pPr>
        <w:pStyle w:val="ListParagraph"/>
        <w:numPr>
          <w:ilvl w:val="0"/>
          <w:numId w:val="2"/>
        </w:numPr>
        <w:spacing w:after="80"/>
      </w:pPr>
      <w:r>
        <w:t xml:space="preserve">Data ședinței</w:t>
      </w:r>
    </w:p>
    <w:p>
      <w:pPr>
        <w:pStyle w:val="ListParagraph"/>
        <w:numPr>
          <w:ilvl w:val="0"/>
          <w:numId w:val="2"/>
        </w:numPr>
        <w:spacing w:after="80"/>
      </w:pPr>
      <w:r>
        <w:t xml:space="preserve">Ordinea de zi</w:t>
      </w:r>
    </w:p>
    <w:p>
      <w:pPr>
        <w:pStyle w:val="ListParagraph"/>
        <w:numPr>
          <w:ilvl w:val="0"/>
          <w:numId w:val="2"/>
        </w:numPr>
        <w:spacing w:after="80"/>
      </w:pPr>
      <w:r>
        <w:t xml:space="preserve">Deciziile luate</w:t>
      </w:r>
    </w:p>
    <w:p>
      <w:pPr>
        <w:pStyle w:val="Heading2"/>
        <w:spacing w:after="150" w:before="300"/>
      </w:pPr>
      <w:r>
        <w:t xml:space="preserve">11.2. Comitetul parohial</w:t>
      </w:r>
    </w:p>
    <w:p>
      <w:pPr>
        <w:spacing w:after="160"/>
      </w:pPr>
      <w:r>
        <w:t xml:space="preserve">Are doar secțiunile „Mandate” și „Componență” (aceleași câmpuri ca mai sus) — fără registru de procese-verbale.</w:t>
      </w:r>
    </w:p>
    <w:p>
      <w:r>
        <w:br w:type="page"/>
      </w:r>
    </w:p>
    <w:p>
      <w:pPr>
        <w:pStyle w:val="Heading1"/>
        <w:spacing w:after="200" w:before="400"/>
      </w:pPr>
      <w:r>
        <w:t xml:space="preserve">12. Rapoarte</w:t>
      </w:r>
    </w:p>
    <w:p>
      <w:pPr>
        <w:spacing w:after="160"/>
      </w:pPr>
      <w:r>
        <w:t xml:space="preserve">Centralizează rapoartele financiare oficiale ale parohiei, fiecare disponibil în mai multe formate de export.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0"/>
        <w:gridCol w:w="4350"/>
      </w:tblGrid>
      <w:tr>
        <w:trPr>
          <w:tblHeader/>
        </w:trPr>
        <w:tc>
          <w:tcPr>
            <w:tcW w:type="dxa" w:w="5000"/>
            <w:shd w:fill="1F3864" w:val="clear"/>
            <w:tcMar>
              <w:top w:type="dxa" w:w="80"/>
              <w:left w:type="dxa" w:w="120"/>
              <w:bottom w:type="dxa" w:w="80"/>
              <w:right w:type="dxa" w:w="120"/>
            </w:tcMar>
          </w:tcPr>
          <w:p>
            <w:r>
              <w:rPr>
                <w:b/>
                <w:bCs/>
                <w:color w:val="FFFFFF"/>
                <w:sz w:val="20"/>
                <w:szCs w:val="20"/>
              </w:rPr>
              <w:t xml:space="preserve">Raport</w:t>
            </w:r>
          </w:p>
        </w:tc>
        <w:tc>
          <w:tcPr>
            <w:tcW w:type="dxa" w:w="4350"/>
            <w:shd w:fill="1F3864" w:val="clear"/>
            <w:tcMar>
              <w:top w:type="dxa" w:w="80"/>
              <w:left w:type="dxa" w:w="120"/>
              <w:bottom w:type="dxa" w:w="80"/>
              <w:right w:type="dxa" w:w="120"/>
            </w:tcMar>
          </w:tcPr>
          <w:p>
            <w:r>
              <w:rPr>
                <w:b/>
                <w:bCs/>
                <w:color w:val="FFFFFF"/>
                <w:sz w:val="20"/>
                <w:szCs w:val="20"/>
              </w:rPr>
              <w:t xml:space="preserve">Formate disponibile</w:t>
            </w:r>
          </w:p>
        </w:tc>
      </w:tr>
      <w:tr>
        <w:tc>
          <w:tcPr>
            <w:tcW w:type="dxa" w:w="5000"/>
            <w:tcMar>
              <w:top w:type="dxa" w:w="80"/>
              <w:left w:type="dxa" w:w="120"/>
              <w:bottom w:type="dxa" w:w="80"/>
              <w:right w:type="dxa" w:w="120"/>
            </w:tcMar>
          </w:tcPr>
          <w:p>
            <w:r>
              <w:rPr>
                <w:b w:val="false"/>
                <w:bCs w:val="false"/>
                <w:color w:val="1C1917"/>
                <w:sz w:val="20"/>
                <w:szCs w:val="20"/>
              </w:rPr>
              <w:t xml:space="preserve">Raport anual de sinteză</w:t>
            </w:r>
          </w:p>
        </w:tc>
        <w:tc>
          <w:tcPr>
            <w:tcW w:type="dxa" w:w="4350"/>
            <w:tcMar>
              <w:top w:type="dxa" w:w="80"/>
              <w:left w:type="dxa" w:w="120"/>
              <w:bottom w:type="dxa" w:w="80"/>
              <w:right w:type="dxa" w:w="120"/>
            </w:tcMar>
          </w:tcPr>
          <w:p>
            <w:r>
              <w:rPr>
                <w:b w:val="false"/>
                <w:bCs w:val="false"/>
                <w:color w:val="1C1917"/>
                <w:sz w:val="20"/>
                <w:szCs w:val="20"/>
              </w:rPr>
              <w:t xml:space="preserve">PDF, XLSX</w:t>
            </w:r>
          </w:p>
        </w:tc>
      </w:tr>
      <w:tr>
        <w:tc>
          <w:tcPr>
            <w:tcW w:type="dxa" w:w="5000"/>
            <w:tcMar>
              <w:top w:type="dxa" w:w="80"/>
              <w:left w:type="dxa" w:w="120"/>
              <w:bottom w:type="dxa" w:w="80"/>
              <w:right w:type="dxa" w:w="120"/>
            </w:tcMar>
          </w:tcPr>
          <w:p>
            <w:r>
              <w:rPr>
                <w:b w:val="false"/>
                <w:bCs w:val="false"/>
                <w:color w:val="1C1917"/>
                <w:sz w:val="20"/>
                <w:szCs w:val="20"/>
              </w:rPr>
              <w:t xml:space="preserve">Partizi Venituri – Încasări</w:t>
            </w:r>
          </w:p>
        </w:tc>
        <w:tc>
          <w:tcPr>
            <w:tcW w:type="dxa" w:w="4350"/>
            <w:tcMar>
              <w:top w:type="dxa" w:w="80"/>
              <w:left w:type="dxa" w:w="120"/>
              <w:bottom w:type="dxa" w:w="80"/>
              <w:right w:type="dxa" w:w="120"/>
            </w:tcMar>
          </w:tcPr>
          <w:p>
            <w:r>
              <w:rPr>
                <w:b w:val="false"/>
                <w:bCs w:val="false"/>
                <w:color w:val="1C1917"/>
                <w:sz w:val="20"/>
                <w:szCs w:val="20"/>
              </w:rPr>
              <w:t xml:space="preserve">PDF, XLSX, XML</w:t>
            </w:r>
          </w:p>
        </w:tc>
      </w:tr>
      <w:tr>
        <w:tc>
          <w:tcPr>
            <w:tcW w:type="dxa" w:w="5000"/>
            <w:tcMar>
              <w:top w:type="dxa" w:w="80"/>
              <w:left w:type="dxa" w:w="120"/>
              <w:bottom w:type="dxa" w:w="80"/>
              <w:right w:type="dxa" w:w="120"/>
            </w:tcMar>
          </w:tcPr>
          <w:p>
            <w:r>
              <w:rPr>
                <w:b w:val="false"/>
                <w:bCs w:val="false"/>
                <w:color w:val="1C1917"/>
                <w:sz w:val="20"/>
                <w:szCs w:val="20"/>
              </w:rPr>
              <w:t xml:space="preserve">Partizi Cheltuieli – Plăți</w:t>
            </w:r>
          </w:p>
        </w:tc>
        <w:tc>
          <w:tcPr>
            <w:tcW w:type="dxa" w:w="4350"/>
            <w:tcMar>
              <w:top w:type="dxa" w:w="80"/>
              <w:left w:type="dxa" w:w="120"/>
              <w:bottom w:type="dxa" w:w="80"/>
              <w:right w:type="dxa" w:w="120"/>
            </w:tcMar>
          </w:tcPr>
          <w:p>
            <w:r>
              <w:rPr>
                <w:b w:val="false"/>
                <w:bCs w:val="false"/>
                <w:color w:val="1C1917"/>
                <w:sz w:val="20"/>
                <w:szCs w:val="20"/>
              </w:rPr>
              <w:t xml:space="preserve">PDF, XLSX, XML</w:t>
            </w:r>
          </w:p>
        </w:tc>
      </w:tr>
      <w:tr>
        <w:tc>
          <w:tcPr>
            <w:tcW w:type="dxa" w:w="5000"/>
            <w:tcMar>
              <w:top w:type="dxa" w:w="80"/>
              <w:left w:type="dxa" w:w="120"/>
              <w:bottom w:type="dxa" w:w="80"/>
              <w:right w:type="dxa" w:w="120"/>
            </w:tcMar>
          </w:tcPr>
          <w:p>
            <w:r>
              <w:rPr>
                <w:b w:val="false"/>
                <w:bCs w:val="false"/>
                <w:color w:val="1C1917"/>
                <w:sz w:val="20"/>
                <w:szCs w:val="20"/>
              </w:rPr>
              <w:t xml:space="preserve">Buget Prevederi</w:t>
            </w:r>
          </w:p>
        </w:tc>
        <w:tc>
          <w:tcPr>
            <w:tcW w:type="dxa" w:w="4350"/>
            <w:tcMar>
              <w:top w:type="dxa" w:w="80"/>
              <w:left w:type="dxa" w:w="120"/>
              <w:bottom w:type="dxa" w:w="80"/>
              <w:right w:type="dxa" w:w="120"/>
            </w:tcMar>
          </w:tcPr>
          <w:p>
            <w:r>
              <w:rPr>
                <w:b w:val="false"/>
                <w:bCs w:val="false"/>
                <w:color w:val="1C1917"/>
                <w:sz w:val="20"/>
                <w:szCs w:val="20"/>
              </w:rPr>
              <w:t xml:space="preserve">PDF, XLSX, XML</w:t>
            </w:r>
          </w:p>
        </w:tc>
      </w:tr>
      <w:tr>
        <w:tc>
          <w:tcPr>
            <w:tcW w:type="dxa" w:w="5000"/>
            <w:tcMar>
              <w:top w:type="dxa" w:w="80"/>
              <w:left w:type="dxa" w:w="120"/>
              <w:bottom w:type="dxa" w:w="80"/>
              <w:right w:type="dxa" w:w="120"/>
            </w:tcMar>
          </w:tcPr>
          <w:p>
            <w:r>
              <w:rPr>
                <w:b w:val="false"/>
                <w:bCs w:val="false"/>
                <w:color w:val="1C1917"/>
                <w:sz w:val="20"/>
                <w:szCs w:val="20"/>
              </w:rPr>
              <w:t xml:space="preserve">Buget Execuție</w:t>
            </w:r>
          </w:p>
        </w:tc>
        <w:tc>
          <w:tcPr>
            <w:tcW w:type="dxa" w:w="4350"/>
            <w:tcMar>
              <w:top w:type="dxa" w:w="80"/>
              <w:left w:type="dxa" w:w="120"/>
              <w:bottom w:type="dxa" w:w="80"/>
              <w:right w:type="dxa" w:w="120"/>
            </w:tcMar>
          </w:tcPr>
          <w:p>
            <w:r>
              <w:rPr>
                <w:b w:val="false"/>
                <w:bCs w:val="false"/>
                <w:color w:val="1C1917"/>
                <w:sz w:val="20"/>
                <w:szCs w:val="20"/>
              </w:rPr>
              <w:t xml:space="preserve">PDF, XLSX, XML</w:t>
            </w:r>
          </w:p>
        </w:tc>
      </w:tr>
    </w:tbl>
    <w:p>
      <w:pPr>
        <w:pBdr>
          <w:left w:val="single" w:color="B8860B" w:sz="18" w:space="8"/>
        </w:pBdr>
        <w:spacing w:after="200" w:before="100"/>
        <w:ind w:left="200"/>
      </w:pPr>
      <w:r>
        <w:rPr>
          <w:b/>
          <w:bCs/>
          <w:color w:val="B8860B"/>
        </w:rPr>
        <w:t xml:space="preserve">Notă: </w:t>
      </w:r>
      <w:r>
        <w:t xml:space="preserve">Formatul XML este cel folosit de regulă pentru depunerea la Eparhie/Protoierie sau la instituțiile care cer raportare structurată.</w:t>
      </w:r>
    </w:p>
    <w:p>
      <w:r>
        <w:br w:type="page"/>
      </w:r>
    </w:p>
    <w:p>
      <w:pPr>
        <w:pStyle w:val="Heading1"/>
        <w:spacing w:after="200" w:before="400"/>
      </w:pPr>
      <w:r>
        <w:t xml:space="preserve">13. Import date</w:t>
      </w:r>
    </w:p>
    <w:p>
      <w:pPr>
        <w:pBdr>
          <w:left w:val="single" w:color="B8860B" w:sz="18" w:space="8"/>
        </w:pBdr>
        <w:spacing w:after="200" w:before="100"/>
        <w:ind w:left="200"/>
      </w:pPr>
      <w:r>
        <w:rPr>
          <w:b/>
          <w:bCs/>
          <w:color w:val="B8860B"/>
        </w:rPr>
        <w:t xml:space="preserve">Notă: </w:t>
      </w:r>
      <w:r>
        <w:t xml:space="preserve">Vizibil doar pentru contul de Preot paroh / Administrator parohie.</w:t>
      </w:r>
    </w:p>
    <w:p>
      <w:pPr>
        <w:spacing w:after="160"/>
      </w:pPr>
      <w:r>
        <w:t xml:space="preserve">Permite încărcarea unor documente/evidențe istorice (de exemplu, dintr-o evidență ținută anterior în Excel sau pe hârtie) direct în aplicație, inclusiv prin citire automată asistată de inteligență artificială a unor documente scanate, pentru a crea automat operațiuni corespunzătoare (Ordine de plată etc.) fără reintroducere manuală linie cu linie.</w:t>
      </w:r>
    </w:p>
    <w:p>
      <w:pPr>
        <w:pBdr>
          <w:left w:val="single" w:color="B91C1C" w:sz="18" w:space="8"/>
        </w:pBdr>
        <w:spacing w:after="200" w:before="100"/>
        <w:ind w:left="200"/>
      </w:pPr>
      <w:r>
        <w:rPr>
          <w:b/>
          <w:bCs/>
          <w:color w:val="B91C1C"/>
        </w:rPr>
        <w:t xml:space="preserve">Atenție: </w:t>
      </w:r>
      <w:r>
        <w:t xml:space="preserve">Se recomandă folosirea acestui modul o singură dată, la trecerea de la evidența veche la aplicație, și verificarea atentă a rezultatului importat înainte de a continua lucrul curent.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8A2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8A29E"/>
        <w:sz w:val="16"/>
        <w:szCs w:val="16"/>
      </w:rPr>
      <w:t xml:space="preserve">Parohia ERP — Manual de utilizare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B8860B"/>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5753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2026-09-14T04:31:30.277Z</dcterms:created>
  <dcterms:modified xsi:type="dcterms:W3CDTF">2026-09-14T04:31:30.283Z</dcterms:modified>
</cp:coreProperties>
</file>

<file path=docProps/custom.xml><?xml version="1.0" encoding="utf-8"?>
<Properties xmlns="http://schemas.openxmlformats.org/officeDocument/2006/custom-properties" xmlns:vt="http://schemas.openxmlformats.org/officeDocument/2006/docPropsVTypes"/>
</file>