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E384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 食品生鲜售后处理标准</w:t>
      </w:r>
    </w:p>
    <w:p w14:paraId="28EA1BE7" w14:textId="77777777" w:rsidR="007C5E3F" w:rsidRDefault="007C5E3F" w:rsidP="007C5E3F">
      <w:pPr>
        <w:rPr>
          <w:rFonts w:hint="eastAsia"/>
        </w:rPr>
      </w:pPr>
    </w:p>
    <w:p w14:paraId="383D400D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## 1. 总则</w:t>
      </w:r>
    </w:p>
    <w:p w14:paraId="20CF0DBA" w14:textId="77777777" w:rsidR="007C5E3F" w:rsidRDefault="007C5E3F" w:rsidP="007C5E3F">
      <w:pPr>
        <w:rPr>
          <w:rFonts w:hint="eastAsia"/>
        </w:rPr>
      </w:pPr>
    </w:p>
    <w:p w14:paraId="424E5004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本标准适用于平台生鲜品类：水果、蔬菜、鲜肉、水产、冷冻食品、预制菜、鲜奶等鲜活 / 易腐食品。生鲜属于特殊品类，本标准优先级高于《2026Q1 全平台退换货通用规则》；本标准未约定事项，执行平台通用退换货规则。生效时间：2026-01-01。</w:t>
      </w:r>
    </w:p>
    <w:p w14:paraId="5160932D" w14:textId="77777777" w:rsidR="007C5E3F" w:rsidRDefault="007C5E3F" w:rsidP="007C5E3F">
      <w:pPr>
        <w:rPr>
          <w:rFonts w:hint="eastAsia"/>
        </w:rPr>
      </w:pPr>
    </w:p>
    <w:p w14:paraId="00FB0A81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9CEB295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重要：**生鲜商品不支持 7 天无理由退货**，仅坏损、变质、规格短缺等质量问题可申请赔付。</w:t>
      </w:r>
    </w:p>
    <w:p w14:paraId="49A5CF0D" w14:textId="77777777" w:rsidR="007C5E3F" w:rsidRDefault="007C5E3F" w:rsidP="007C5E3F">
      <w:pPr>
        <w:rPr>
          <w:rFonts w:hint="eastAsia"/>
        </w:rPr>
      </w:pPr>
    </w:p>
    <w:p w14:paraId="7905119E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## 2. 反馈时效要求</w:t>
      </w:r>
    </w:p>
    <w:p w14:paraId="5281C9D1" w14:textId="77777777" w:rsidR="007C5E3F" w:rsidRDefault="007C5E3F" w:rsidP="007C5E3F">
      <w:pPr>
        <w:rPr>
          <w:rFonts w:hint="eastAsia"/>
        </w:rPr>
      </w:pPr>
    </w:p>
    <w:p w14:paraId="582834A9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1. **24 小时反馈时效**：用户签收生鲜商品起，**24 小时内提交坏损照片 / 视频凭证**，超时（超过签收 24 小时）提交的坏损申请，平台不予受理。</w:t>
      </w:r>
    </w:p>
    <w:p w14:paraId="19791A27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2. 签收定义：快递柜 / 驿站代收，代收时间即为签收时间，同步开始计算 24 小时时效。</w:t>
      </w:r>
    </w:p>
    <w:p w14:paraId="55ED0D14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3. 冷冻生鲜：签收后需立即开箱查验，化冻变质同样需要在 24 小时内上传凭证。</w:t>
      </w:r>
    </w:p>
    <w:p w14:paraId="021B99FA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4. 举证要求：照片 / 视频必须包含【商品 + 快递面单同框】，无法提供</w:t>
      </w:r>
      <w:proofErr w:type="gramStart"/>
      <w:r>
        <w:rPr>
          <w:rFonts w:hint="eastAsia"/>
        </w:rPr>
        <w:t>面单同框</w:t>
      </w:r>
      <w:proofErr w:type="gramEnd"/>
      <w:r>
        <w:rPr>
          <w:rFonts w:hint="eastAsia"/>
        </w:rPr>
        <w:t>材料，可不予赔付。</w:t>
      </w:r>
    </w:p>
    <w:p w14:paraId="77EEB9E6" w14:textId="77777777" w:rsidR="007C5E3F" w:rsidRDefault="007C5E3F" w:rsidP="007C5E3F">
      <w:pPr>
        <w:rPr>
          <w:rFonts w:hint="eastAsia"/>
        </w:rPr>
      </w:pPr>
    </w:p>
    <w:p w14:paraId="1C5EA199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## 3. 坏损赔付比例规则（按坏损占比）</w:t>
      </w:r>
    </w:p>
    <w:p w14:paraId="756A2A7E" w14:textId="77777777" w:rsidR="007C5E3F" w:rsidRDefault="007C5E3F" w:rsidP="007C5E3F">
      <w:pPr>
        <w:rPr>
          <w:rFonts w:hint="eastAsia"/>
        </w:rPr>
      </w:pPr>
    </w:p>
    <w:p w14:paraId="04ED21A8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830E381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以坏损商品数量 / 重量</w:t>
      </w:r>
      <w:proofErr w:type="gramStart"/>
      <w:r>
        <w:rPr>
          <w:rFonts w:hint="eastAsia"/>
        </w:rPr>
        <w:t>占整单生鲜</w:t>
      </w:r>
      <w:proofErr w:type="gramEnd"/>
      <w:r>
        <w:rPr>
          <w:rFonts w:hint="eastAsia"/>
        </w:rPr>
        <w:t>比例计算赔付金额：</w:t>
      </w:r>
    </w:p>
    <w:p w14:paraId="26948B8E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| 坏损占比 | 赔</w:t>
      </w:r>
      <w:proofErr w:type="gramStart"/>
      <w:r>
        <w:rPr>
          <w:rFonts w:hint="eastAsia"/>
        </w:rPr>
        <w:t>付方案</w:t>
      </w:r>
      <w:proofErr w:type="gramEnd"/>
      <w:r>
        <w:rPr>
          <w:rFonts w:hint="eastAsia"/>
        </w:rPr>
        <w:t xml:space="preserve"> |</w:t>
      </w:r>
    </w:p>
    <w:p w14:paraId="2BBA8933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| ---- | ---- |</w:t>
      </w:r>
    </w:p>
    <w:p w14:paraId="2E2E2F5D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lastRenderedPageBreak/>
        <w:t>&gt; |0~10%| 不支持赔付，属于生鲜正常损耗范围 |</w:t>
      </w:r>
    </w:p>
    <w:p w14:paraId="3CDBC15A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|10%~30%| 按坏损部分金额赔付，仅退款，不退货 |</w:t>
      </w:r>
    </w:p>
    <w:p w14:paraId="559566DF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|30%~50%| 按坏损部分金额赔付；用户可选择退款或补发对应数量商品 |</w:t>
      </w:r>
    </w:p>
    <w:p w14:paraId="5F98564C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|50% 及以上 | 全额退款，无需退回坏货，商品由用户自行处理 |</w:t>
      </w:r>
    </w:p>
    <w:p w14:paraId="723380EA" w14:textId="77777777" w:rsidR="007C5E3F" w:rsidRDefault="007C5E3F" w:rsidP="007C5E3F">
      <w:pPr>
        <w:rPr>
          <w:rFonts w:hint="eastAsia"/>
        </w:rPr>
      </w:pPr>
    </w:p>
    <w:p w14:paraId="3CE59302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E459342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说明：</w:t>
      </w:r>
    </w:p>
    <w:p w14:paraId="5E2F3B84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50B3069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94D16D8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1. 赔付基数为该单品实付金额，不含运费、优惠券抵扣部分；</w:t>
      </w:r>
    </w:p>
    <w:p w14:paraId="0D722920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 xml:space="preserve">&gt; 2. </w:t>
      </w:r>
      <w:proofErr w:type="gramStart"/>
      <w:r>
        <w:rPr>
          <w:rFonts w:hint="eastAsia"/>
        </w:rPr>
        <w:t>整单全部</w:t>
      </w:r>
      <w:proofErr w:type="gramEnd"/>
      <w:r>
        <w:rPr>
          <w:rFonts w:hint="eastAsia"/>
        </w:rPr>
        <w:t>变质、腐坏、发臭，直接判定 100% 坏损，全额退款；</w:t>
      </w:r>
    </w:p>
    <w:p w14:paraId="6FA05D21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&gt; 3. 轻微表皮磕碰、轻微果斑，不影响食用，不计入坏损。</w:t>
      </w:r>
    </w:p>
    <w:p w14:paraId="7621B724" w14:textId="77777777" w:rsidR="007C5E3F" w:rsidRDefault="007C5E3F" w:rsidP="007C5E3F">
      <w:pPr>
        <w:rPr>
          <w:rFonts w:hint="eastAsia"/>
        </w:rPr>
      </w:pPr>
    </w:p>
    <w:p w14:paraId="067BDF89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## 4. 不予赔付场景</w:t>
      </w:r>
    </w:p>
    <w:p w14:paraId="593B3D32" w14:textId="77777777" w:rsidR="007C5E3F" w:rsidRDefault="007C5E3F" w:rsidP="007C5E3F">
      <w:pPr>
        <w:rPr>
          <w:rFonts w:hint="eastAsia"/>
        </w:rPr>
      </w:pPr>
    </w:p>
    <w:p w14:paraId="50A78A5E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1. 超过签收 24 小时才反馈坏损；</w:t>
      </w:r>
    </w:p>
    <w:p w14:paraId="467424DF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2. 用户存放不当（未及时冷藏、暴晒、常温久放）造成变质；</w:t>
      </w:r>
    </w:p>
    <w:p w14:paraId="70B747FD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3. 个人口感、甜度、软硬主观不满意（无腐烂变质）；</w:t>
      </w:r>
    </w:p>
    <w:p w14:paraId="4251B1F7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4. 正常成熟度差异，不属于坏果；</w:t>
      </w:r>
    </w:p>
    <w:p w14:paraId="532530B6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5. 人为磕碰、自行切开后存放导致变质；</w:t>
      </w:r>
    </w:p>
    <w:p w14:paraId="54CAAA1B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6. 批量囤货，存放多日后才发现腐烂。</w:t>
      </w:r>
    </w:p>
    <w:p w14:paraId="7DECAE8A" w14:textId="77777777" w:rsidR="007C5E3F" w:rsidRDefault="007C5E3F" w:rsidP="007C5E3F">
      <w:pPr>
        <w:rPr>
          <w:rFonts w:hint="eastAsia"/>
        </w:rPr>
      </w:pPr>
    </w:p>
    <w:p w14:paraId="7BF0D113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## 5. 运费相关规则</w:t>
      </w:r>
    </w:p>
    <w:p w14:paraId="6091CA4D" w14:textId="77777777" w:rsidR="007C5E3F" w:rsidRDefault="007C5E3F" w:rsidP="007C5E3F">
      <w:pPr>
        <w:rPr>
          <w:rFonts w:hint="eastAsia"/>
        </w:rPr>
      </w:pPr>
    </w:p>
    <w:p w14:paraId="540AC450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1. 生鲜坏损赔付，**不支持来回退货**（生鲜无法寄回），只做部分 / 全额退款；</w:t>
      </w:r>
    </w:p>
    <w:p w14:paraId="3C1A10D2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2. 因商家原因（发货变质、缺斤少两、发错货）产生售后，用户无需承担退货运费；</w:t>
      </w:r>
    </w:p>
    <w:p w14:paraId="4F04275F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3. 生鲜订单不适用 7 天无理由，用户单纯拒收生鲜，产生的全部运费由买家承担。</w:t>
      </w:r>
    </w:p>
    <w:p w14:paraId="6D67549B" w14:textId="77777777" w:rsidR="007C5E3F" w:rsidRDefault="007C5E3F" w:rsidP="007C5E3F">
      <w:pPr>
        <w:rPr>
          <w:rFonts w:hint="eastAsia"/>
        </w:rPr>
      </w:pPr>
    </w:p>
    <w:p w14:paraId="3025AA22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## 6. 特殊细分品类补充</w:t>
      </w:r>
    </w:p>
    <w:p w14:paraId="2FFC9C84" w14:textId="77777777" w:rsidR="007C5E3F" w:rsidRDefault="007C5E3F" w:rsidP="007C5E3F">
      <w:pPr>
        <w:rPr>
          <w:rFonts w:hint="eastAsia"/>
        </w:rPr>
      </w:pPr>
    </w:p>
    <w:p w14:paraId="090D3658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1. **冷冻水产 / 肉类**：签收时完全化冻、渗水，24 小时内举证可按坏损比例赔付；正常轻微结霜不属于质量问题。</w:t>
      </w:r>
    </w:p>
    <w:p w14:paraId="5AEA7EE5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2. **活鲜（活虾、活鱼）**：签收开箱死亡，24 小时内</w:t>
      </w:r>
      <w:proofErr w:type="gramStart"/>
      <w:r>
        <w:rPr>
          <w:rFonts w:hint="eastAsia"/>
        </w:rPr>
        <w:t>凭面单</w:t>
      </w:r>
      <w:proofErr w:type="gramEnd"/>
      <w:r>
        <w:rPr>
          <w:rFonts w:hint="eastAsia"/>
        </w:rPr>
        <w:t xml:space="preserve"> + 实物照片，</w:t>
      </w:r>
      <w:proofErr w:type="gramStart"/>
      <w:r>
        <w:rPr>
          <w:rFonts w:hint="eastAsia"/>
        </w:rPr>
        <w:t>按死亡</w:t>
      </w:r>
      <w:proofErr w:type="gramEnd"/>
      <w:r>
        <w:rPr>
          <w:rFonts w:hint="eastAsia"/>
        </w:rPr>
        <w:t>数量比例赔付。</w:t>
      </w:r>
    </w:p>
    <w:p w14:paraId="7113087B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3. **鲜奶、冷藏乳制品**：胀袋、漏液，24 小时内举证可全额赔付；开封后变质不予赔付。</w:t>
      </w:r>
    </w:p>
    <w:p w14:paraId="0239491A" w14:textId="77777777" w:rsidR="007C5E3F" w:rsidRDefault="007C5E3F" w:rsidP="007C5E3F">
      <w:pPr>
        <w:rPr>
          <w:rFonts w:hint="eastAsia"/>
        </w:rPr>
      </w:pPr>
    </w:p>
    <w:p w14:paraId="6AB62C01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## 7. 售后仲裁判定要点</w:t>
      </w:r>
    </w:p>
    <w:p w14:paraId="69C32018" w14:textId="77777777" w:rsidR="007C5E3F" w:rsidRDefault="007C5E3F" w:rsidP="007C5E3F">
      <w:pPr>
        <w:rPr>
          <w:rFonts w:hint="eastAsia"/>
        </w:rPr>
      </w:pPr>
    </w:p>
    <w:p w14:paraId="7DB3219D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 xml:space="preserve">1. 必须同时满足：24 小时时效 + </w:t>
      </w:r>
      <w:proofErr w:type="gramStart"/>
      <w:r>
        <w:rPr>
          <w:rFonts w:hint="eastAsia"/>
        </w:rPr>
        <w:t>面单同框</w:t>
      </w:r>
      <w:proofErr w:type="gramEnd"/>
      <w:r>
        <w:rPr>
          <w:rFonts w:hint="eastAsia"/>
        </w:rPr>
        <w:t>凭证，两个条件缺一不可；</w:t>
      </w:r>
    </w:p>
    <w:p w14:paraId="5C1D8FA0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2. 坏损比例由平台客</w:t>
      </w:r>
      <w:proofErr w:type="gramStart"/>
      <w:r>
        <w:rPr>
          <w:rFonts w:hint="eastAsia"/>
        </w:rPr>
        <w:t>服根据</w:t>
      </w:r>
      <w:proofErr w:type="gramEnd"/>
      <w:r>
        <w:rPr>
          <w:rFonts w:hint="eastAsia"/>
        </w:rPr>
        <w:t>照片、视频综合判定；用户对比例有异议，可申请平台专员复核；</w:t>
      </w:r>
    </w:p>
    <w:p w14:paraId="751BD63F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3. 直播间生鲜订单，可享受直播间售后绿色通道，审核加速，但**24 小时反馈时效不变**。</w:t>
      </w:r>
    </w:p>
    <w:p w14:paraId="47F72905" w14:textId="77777777" w:rsidR="007C5E3F" w:rsidRDefault="007C5E3F" w:rsidP="007C5E3F">
      <w:pPr>
        <w:rPr>
          <w:rFonts w:hint="eastAsia"/>
        </w:rPr>
      </w:pPr>
    </w:p>
    <w:p w14:paraId="6FED81A6" w14:textId="77777777" w:rsidR="007C5E3F" w:rsidRDefault="007C5E3F" w:rsidP="007C5E3F">
      <w:pPr>
        <w:rPr>
          <w:rFonts w:hint="eastAsia"/>
        </w:rPr>
      </w:pPr>
      <w:r>
        <w:rPr>
          <w:rFonts w:hint="eastAsia"/>
        </w:rPr>
        <w:t>## 8. 政策有效期</w:t>
      </w:r>
    </w:p>
    <w:p w14:paraId="0593BF89" w14:textId="77777777" w:rsidR="007C5E3F" w:rsidRDefault="007C5E3F" w:rsidP="007C5E3F">
      <w:pPr>
        <w:rPr>
          <w:rFonts w:hint="eastAsia"/>
        </w:rPr>
      </w:pPr>
    </w:p>
    <w:p w14:paraId="162E0E1D" w14:textId="1027928F" w:rsidR="007C5E3F" w:rsidRDefault="007C5E3F" w:rsidP="007C5E3F">
      <w:r>
        <w:rPr>
          <w:rFonts w:hint="eastAsia"/>
        </w:rPr>
        <w:t>本标准 2026Q1 生效，季度更新。</w:t>
      </w:r>
    </w:p>
    <w:sectPr w:rsidR="007C5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3F"/>
    <w:rsid w:val="002D12AE"/>
    <w:rsid w:val="007C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1A98"/>
  <w15:chartTrackingRefBased/>
  <w15:docId w15:val="{FC40660D-6988-477D-BF0D-80589E3E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5E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E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E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E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E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E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E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E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5E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5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5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5E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5E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5E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5E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5E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5E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5E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E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5E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5E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5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5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5E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5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长彬 杨</dc:creator>
  <cp:keywords/>
  <dc:description/>
  <cp:lastModifiedBy>长彬 杨</cp:lastModifiedBy>
  <cp:revision>1</cp:revision>
  <dcterms:created xsi:type="dcterms:W3CDTF">2026-10-09T12:27:00Z</dcterms:created>
  <dcterms:modified xsi:type="dcterms:W3CDTF">2026-10-09T12:28:00Z</dcterms:modified>
</cp:coreProperties>
</file>