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eastAsia="Times New Roman"/>
          <w:b/>
          <w:sz w:val="32"/>
        </w:rPr>
        <w:t>CS3: Case Study Create - Deepfake Image Detection</w:t>
      </w:r>
    </w:p>
    <w:p>
      <w:pPr>
        <w:spacing w:after="320"/>
        <w:jc w:val="center"/>
      </w:pPr>
      <w:r>
        <w:rPr>
          <w:rFonts w:ascii="Times New Roman" w:hAnsi="Times New Roman" w:eastAsia="Times New Roman"/>
          <w:b/>
          <w:sz w:val="28"/>
        </w:rPr>
        <w:t>Angad Brar | DS 4002 | May 5, 2026</w:t>
      </w:r>
    </w:p>
    <w:p>
      <w:pPr>
        <w:spacing w:after="160"/>
        <w:jc w:val="left"/>
      </w:pPr>
      <w:r>
        <w:rPr>
          <w:rFonts w:ascii="Times New Roman" w:hAnsi="Times New Roman" w:eastAsia="Times New Roman"/>
          <w:sz w:val="24"/>
        </w:rPr>
        <w:t xml:space="preserve">Case study repository: </w:t>
      </w:r>
      <w:hyperlink r:id="rId9">
        <w:r>
          <w:rPr>
            <w:color w:val="0000FF"/>
            <w:u w:val="single"/>
          </w:rPr>
          <w:t>https://github.com/angadv12/KALz_Project_3</w:t>
        </w:r>
      </w:hyperlink>
    </w:p>
    <w:p>
      <w:pPr>
        <w:spacing w:before="40" w:after="80"/>
      </w:pPr>
      <w:r>
        <w:rPr>
          <w:rFonts w:ascii="Times New Roman" w:hAnsi="Times New Roman" w:eastAsia="Times New Roman"/>
          <w:b/>
          <w:sz w:val="28"/>
        </w:rPr>
        <w:t>Hook Document</w:t>
      </w:r>
    </w:p>
    <w:p>
      <w:pPr>
        <w:spacing w:after="80"/>
      </w:pPr>
      <w:r>
        <w:rPr>
          <w:rFonts w:ascii="Times New Roman" w:hAnsi="Times New Roman" w:eastAsia="Times New Roman"/>
          <w:b/>
          <w:sz w:val="24"/>
        </w:rPr>
        <w:t>Can You Catch an AI Image Before It Spreads?</w:t>
      </w:r>
    </w:p>
    <w:p>
      <w:pPr>
        <w:spacing w:line="250" w:lineRule="auto" w:after="100"/>
      </w:pPr>
      <w:r>
        <w:rPr>
          <w:rFonts w:ascii="Times New Roman" w:hAnsi="Times New Roman" w:eastAsia="Times New Roman"/>
          <w:sz w:val="24"/>
        </w:rPr>
        <w:t>Imagine the Cavalier Daily receives two images tied to a breaking campus story. One came from a real photo source. The other came from a generative model. Both look believable at a glance, and the newsroom needs an evidence-based call before the image moves across group chats and social media.</w:t>
      </w:r>
    </w:p>
    <w:p>
      <w:pPr>
        <w:spacing w:line="250" w:lineRule="auto" w:after="100"/>
      </w:pPr>
      <w:r>
        <w:rPr>
          <w:rFonts w:ascii="Times New Roman" w:hAnsi="Times New Roman" w:eastAsia="Times New Roman"/>
          <w:sz w:val="24"/>
        </w:rPr>
        <w:t>You are the analyst on that first pass. Your job is not to build a perfect truth machine. Your job is to test whether a reproducible computer-vision workflow can separate real images from AI-generated images better than a person scanning pixels by eye.</w:t>
      </w:r>
    </w:p>
    <w:p>
      <w:pPr>
        <w:spacing w:line="250" w:lineRule="auto" w:after="100"/>
      </w:pPr>
      <w:r>
        <w:rPr>
          <w:rFonts w:ascii="Times New Roman" w:hAnsi="Times New Roman" w:eastAsia="Times New Roman"/>
          <w:sz w:val="24"/>
        </w:rPr>
        <w:t>The KALz project gives you a starting point: the CIFAKE dataset, a clean repository, two pretrained CNN models, saved evaluation outputs, and Grad-CAM examples. CIFAKE contains 120,000 low-resolution images split evenly between REAL images from CIFAR-10 and FAKE images generated to match that style. The original project compared ResNet-50 and DenseNet-121. Both models beat the 80 percent target and the 92.98 percent CIFAKE paper baseline, with DenseNet-121 reaching 96.97 percent test accuracy.</w:t>
      </w:r>
    </w:p>
    <w:p>
      <w:pPr>
        <w:spacing w:line="250" w:lineRule="auto" w:after="100"/>
      </w:pPr>
      <w:r>
        <w:rPr>
          <w:rFonts w:ascii="Times New Roman" w:hAnsi="Times New Roman" w:eastAsia="Times New Roman"/>
          <w:sz w:val="24"/>
        </w:rPr>
        <w:t>Your mission is to turn that project into a short, honest technical brief for a non-expert reader. You will explain the problem, run or inspect the workflow, compare the models, and decide what the results do and do not prove. The strongest answer will pair metrics with skepticism: confusion matrices show where the model failed, and Grad-CAM helps you ask whether the model focused on meaningful image regions or dataset-specific artifacts.</w:t>
      </w:r>
    </w:p>
    <w:p>
      <w:pPr>
        <w:spacing w:line="250" w:lineRule="auto" w:after="100"/>
      </w:pPr>
      <w:r>
        <w:rPr>
          <w:rFonts w:ascii="Times New Roman" w:hAnsi="Times New Roman" w:eastAsia="Times New Roman"/>
          <w:sz w:val="24"/>
        </w:rPr>
        <w:t>By the end, you should be able to answer one practical question: if someone handed you a suspicious image, what evidence would make you trust or doubt a CNN-based detector?</w:t>
      </w:r>
    </w:p>
    <w:p>
      <w:r>
        <w:br w:type="page"/>
      </w:r>
    </w:p>
    <w:p>
      <w:pPr>
        <w:spacing w:before="0" w:after="80"/>
      </w:pPr>
      <w:r>
        <w:rPr>
          <w:rFonts w:ascii="Times New Roman" w:hAnsi="Times New Roman" w:eastAsia="Times New Roman"/>
          <w:b/>
          <w:sz w:val="28"/>
        </w:rPr>
        <w:t>Rubric for the Student Deliverable</w:t>
      </w:r>
    </w:p>
    <w:p>
      <w:pPr>
        <w:spacing w:line="250" w:lineRule="auto" w:after="140"/>
      </w:pPr>
      <w:r>
        <w:rPr>
          <w:rFonts w:ascii="Times New Roman" w:hAnsi="Times New Roman" w:eastAsia="Times New Roman"/>
          <w:sz w:val="24"/>
        </w:rPr>
        <w:t>Target student: second-year UVA student. Deliverable: a 3-4 page technical brief, saved as a PDF, plus a GitHub repository that lets another student inspect the code, data instructions, model outputs, and references.</w:t>
      </w:r>
    </w:p>
    <w:tbl>
      <w:tblPr>
        <w:tblStyle w:val="TableGrid"/>
        <w:tblW w:type="dxa" w:w="9000"/>
        <w:jc w:val="center"/>
        <w:tblLook w:firstColumn="1" w:firstRow="1" w:lastColumn="0" w:lastRow="0" w:noHBand="0" w:noVBand="1" w:val="04A0"/>
      </w:tblPr>
      <w:tblGrid>
        <w:gridCol w:w="4824"/>
        <w:gridCol w:w="4824"/>
      </w:tblGrid>
      <w:tr>
        <w:trPr>
          <w:tblHeader w:val="true"/>
          <w:cantSplit w:val="true"/>
        </w:trPr>
        <w:tc>
          <w:tcPr>
            <w:tcW w:type="dxa" w:w="4824"/>
            <w:shd w:fill="D9EAF7"/>
            <w:tcMar>
              <w:top w:w="90" w:type="dxa"/>
              <w:start w:w="100" w:type="dxa"/>
              <w:bottom w:w="90" w:type="dxa"/>
              <w:end w:w="100" w:type="dxa"/>
            </w:tcMar>
            <w:vAlign w:val="center"/>
          </w:tcPr>
          <w:p>
            <w:pPr>
              <w:spacing w:after="0"/>
            </w:pPr>
            <w:r>
              <w:rPr>
                <w:rFonts w:ascii="Times New Roman" w:hAnsi="Times New Roman" w:eastAsia="Times New Roman"/>
                <w:b/>
                <w:sz w:val="21"/>
              </w:rPr>
              <w:t>Spec Category</w:t>
            </w:r>
          </w:p>
        </w:tc>
        <w:tc>
          <w:tcPr>
            <w:tcW w:type="dxa" w:w="4824"/>
            <w:shd w:fill="D9EAF7"/>
            <w:tcMar>
              <w:top w:w="90" w:type="dxa"/>
              <w:start w:w="100" w:type="dxa"/>
              <w:bottom w:w="90" w:type="dxa"/>
              <w:end w:w="100" w:type="dxa"/>
            </w:tcMar>
            <w:vAlign w:val="center"/>
          </w:tcPr>
          <w:p>
            <w:pPr>
              <w:spacing w:after="0"/>
            </w:pPr>
            <w:r>
              <w:rPr>
                <w:rFonts w:ascii="Times New Roman" w:hAnsi="Times New Roman" w:eastAsia="Times New Roman"/>
                <w:b/>
                <w:sz w:val="21"/>
              </w:rPr>
              <w:t>Spec Details</w:t>
            </w:r>
          </w:p>
        </w:tc>
      </w:tr>
      <w:tr>
        <w:trPr>
          <w:cantSplit w:val="true"/>
        </w:trPr>
        <w:tc>
          <w:tcPr>
            <w:tcW w:type="dxa" w:w="2232"/>
            <w:vAlign w:val="center"/>
            <w:tcMar>
              <w:top w:w="80" w:type="dxa"/>
              <w:start w:w="90" w:type="dxa"/>
              <w:bottom w:w="80" w:type="dxa"/>
              <w:end w:w="90" w:type="dxa"/>
            </w:tcMar>
          </w:tcPr>
          <w:p>
            <w:pPr>
              <w:spacing w:after="0"/>
            </w:pPr>
            <w:r>
              <w:rPr>
                <w:rFonts w:ascii="Times New Roman" w:hAnsi="Times New Roman" w:eastAsia="Times New Roman"/>
                <w:b/>
                <w:sz w:val="20"/>
              </w:rPr>
              <w:t>Formatting and submission</w:t>
            </w:r>
          </w:p>
        </w:tc>
        <w:tc>
          <w:tcPr>
            <w:tcW w:type="dxa" w:w="9000"/>
            <w:tcMar>
              <w:top w:w="80" w:type="dxa"/>
              <w:start w:w="90" w:type="dxa"/>
              <w:bottom w:w="80" w:type="dxa"/>
              <w:end w:w="90" w:type="dxa"/>
            </w:tcMar>
            <w:vAlign w:val="center"/>
          </w:tcPr>
          <w:p>
            <w:pPr>
              <w:pStyle w:val="ListBullet"/>
              <w:spacing w:after="30" w:line="230" w:lineRule="auto"/>
            </w:pPr>
            <w:r/>
            <w:r>
              <w:rPr>
                <w:rFonts w:ascii="Times New Roman" w:hAnsi="Times New Roman" w:eastAsia="Times New Roman"/>
                <w:sz w:val="19"/>
              </w:rPr>
              <w:t>You submit a GitHub repository link and a final PDF brief.</w:t>
            </w:r>
          </w:p>
          <w:p>
            <w:pPr>
              <w:pStyle w:val="ListBullet"/>
              <w:spacing w:after="30" w:line="230" w:lineRule="auto"/>
            </w:pPr>
            <w:r>
              <w:rPr>
                <w:rFonts w:ascii="Times New Roman" w:hAnsi="Times New Roman" w:eastAsia="Times New Roman"/>
                <w:sz w:val="19"/>
              </w:rPr>
              <w:t>Your repo contains the brief, notebook or scripts, output figures, metric files, and reference list.</w:t>
            </w:r>
          </w:p>
          <w:p>
            <w:pPr>
              <w:pStyle w:val="ListBullet"/>
              <w:spacing w:after="30" w:line="230" w:lineRule="auto"/>
            </w:pPr>
            <w:r>
              <w:rPr>
                <w:rFonts w:ascii="Times New Roman" w:hAnsi="Times New Roman" w:eastAsia="Times New Roman"/>
                <w:sz w:val="19"/>
              </w:rPr>
              <w:t>Your brief uses clear headings, labeled figures, and citations. Do not bury results in raw notebook output.</w:t>
            </w:r>
          </w:p>
        </w:tc>
      </w:tr>
      <w:tr>
        <w:trPr>
          <w:cantSplit w:val="true"/>
        </w:trPr>
        <w:tc>
          <w:tcPr>
            <w:tcW w:type="dxa" w:w="2232"/>
            <w:vAlign w:val="center"/>
            <w:tcMar>
              <w:top w:w="80" w:type="dxa"/>
              <w:start w:w="90" w:type="dxa"/>
              <w:bottom w:w="80" w:type="dxa"/>
              <w:end w:w="90" w:type="dxa"/>
            </w:tcMar>
          </w:tcPr>
          <w:p>
            <w:pPr>
              <w:spacing w:after="0"/>
            </w:pPr>
            <w:r>
              <w:rPr>
                <w:rFonts w:ascii="Times New Roman" w:hAnsi="Times New Roman" w:eastAsia="Times New Roman"/>
                <w:b/>
                <w:sz w:val="20"/>
              </w:rPr>
              <w:t>Problem framing</w:t>
            </w:r>
          </w:p>
        </w:tc>
        <w:tc>
          <w:tcPr>
            <w:tcW w:type="dxa" w:w="9000"/>
            <w:tcMar>
              <w:top w:w="80" w:type="dxa"/>
              <w:start w:w="90" w:type="dxa"/>
              <w:bottom w:w="80" w:type="dxa"/>
              <w:end w:w="90" w:type="dxa"/>
            </w:tcMar>
            <w:vAlign w:val="center"/>
          </w:tcPr>
          <w:p>
            <w:pPr>
              <w:pStyle w:val="ListBullet"/>
              <w:spacing w:after="30" w:line="230" w:lineRule="auto"/>
            </w:pPr>
            <w:r/>
            <w:r>
              <w:rPr>
                <w:rFonts w:ascii="Times New Roman" w:hAnsi="Times New Roman" w:eastAsia="Times New Roman"/>
                <w:sz w:val="19"/>
              </w:rPr>
              <w:t>You explain why AI-generated images create a trust problem in plain language.</w:t>
            </w:r>
          </w:p>
          <w:p>
            <w:pPr>
              <w:pStyle w:val="ListBullet"/>
              <w:spacing w:after="30" w:line="230" w:lineRule="auto"/>
            </w:pPr>
            <w:r>
              <w:rPr>
                <w:rFonts w:ascii="Times New Roman" w:hAnsi="Times New Roman" w:eastAsia="Times New Roman"/>
                <w:sz w:val="19"/>
              </w:rPr>
              <w:t>You state the research question: which pretrained CNN, ResNet-50 or DenseNet-121, detects CIFAKE images more effectively?</w:t>
            </w:r>
          </w:p>
          <w:p>
            <w:pPr>
              <w:pStyle w:val="ListBullet"/>
              <w:spacing w:after="30" w:line="230" w:lineRule="auto"/>
            </w:pPr>
            <w:r>
              <w:rPr>
                <w:rFonts w:ascii="Times New Roman" w:hAnsi="Times New Roman" w:eastAsia="Times New Roman"/>
                <w:sz w:val="19"/>
              </w:rPr>
              <w:t>You define REAL and FAKE without assuming the reader already knows CIFAKE.</w:t>
            </w:r>
          </w:p>
        </w:tc>
      </w:tr>
      <w:tr>
        <w:trPr>
          <w:cantSplit w:val="true"/>
        </w:trPr>
        <w:tc>
          <w:tcPr>
            <w:tcW w:type="dxa" w:w="2232"/>
            <w:vAlign w:val="center"/>
            <w:tcMar>
              <w:top w:w="80" w:type="dxa"/>
              <w:start w:w="90" w:type="dxa"/>
              <w:bottom w:w="80" w:type="dxa"/>
              <w:end w:w="90" w:type="dxa"/>
            </w:tcMar>
          </w:tcPr>
          <w:p>
            <w:pPr>
              <w:spacing w:after="0"/>
            </w:pPr>
            <w:r>
              <w:rPr>
                <w:rFonts w:ascii="Times New Roman" w:hAnsi="Times New Roman" w:eastAsia="Times New Roman"/>
                <w:b/>
                <w:sz w:val="20"/>
              </w:rPr>
              <w:t>Data understanding</w:t>
            </w:r>
          </w:p>
        </w:tc>
        <w:tc>
          <w:tcPr>
            <w:tcW w:type="dxa" w:w="9000"/>
            <w:tcMar>
              <w:top w:w="80" w:type="dxa"/>
              <w:start w:w="90" w:type="dxa"/>
              <w:bottom w:w="80" w:type="dxa"/>
              <w:end w:w="90" w:type="dxa"/>
            </w:tcMar>
            <w:vAlign w:val="center"/>
          </w:tcPr>
          <w:p>
            <w:pPr>
              <w:pStyle w:val="ListBullet"/>
              <w:spacing w:after="30" w:line="230" w:lineRule="auto"/>
            </w:pPr>
            <w:r/>
            <w:r>
              <w:rPr>
                <w:rFonts w:ascii="Times New Roman" w:hAnsi="Times New Roman" w:eastAsia="Times New Roman"/>
                <w:sz w:val="19"/>
              </w:rPr>
              <w:t>You describe CIFAKE's size, class balance, train/test split, and image source.</w:t>
            </w:r>
          </w:p>
          <w:p>
            <w:pPr>
              <w:pStyle w:val="ListBullet"/>
              <w:spacing w:after="30" w:line="230" w:lineRule="auto"/>
            </w:pPr>
            <w:r>
              <w:rPr>
                <w:rFonts w:ascii="Times New Roman" w:hAnsi="Times New Roman" w:eastAsia="Times New Roman"/>
                <w:sz w:val="19"/>
              </w:rPr>
              <w:t>You include at least one EDA point from the repository, such as class balance, image size, brightness, or pixel variance.</w:t>
            </w:r>
          </w:p>
          <w:p>
            <w:pPr>
              <w:pStyle w:val="ListBullet"/>
              <w:spacing w:after="30" w:line="230" w:lineRule="auto"/>
            </w:pPr>
            <w:r>
              <w:rPr>
                <w:rFonts w:ascii="Times New Roman" w:hAnsi="Times New Roman" w:eastAsia="Times New Roman"/>
                <w:sz w:val="19"/>
              </w:rPr>
              <w:t>You name one dataset limitation, especially the 32x32 resolution and the single fake-image generation setup.</w:t>
            </w:r>
          </w:p>
        </w:tc>
      </w:tr>
      <w:tr>
        <w:trPr>
          <w:cantSplit w:val="true"/>
        </w:trPr>
        <w:tc>
          <w:tcPr>
            <w:tcW w:type="dxa" w:w="2232"/>
            <w:vAlign w:val="center"/>
            <w:tcMar>
              <w:top w:w="80" w:type="dxa"/>
              <w:start w:w="90" w:type="dxa"/>
              <w:bottom w:w="80" w:type="dxa"/>
              <w:end w:w="90" w:type="dxa"/>
            </w:tcMar>
          </w:tcPr>
          <w:p>
            <w:pPr>
              <w:spacing w:after="0"/>
            </w:pPr>
            <w:r>
              <w:rPr>
                <w:rFonts w:ascii="Times New Roman" w:hAnsi="Times New Roman" w:eastAsia="Times New Roman"/>
                <w:b/>
                <w:sz w:val="20"/>
              </w:rPr>
              <w:t>Preprocessing and model workflow</w:t>
            </w:r>
          </w:p>
        </w:tc>
        <w:tc>
          <w:tcPr>
            <w:tcW w:type="dxa" w:w="9000"/>
            <w:tcMar>
              <w:top w:w="80" w:type="dxa"/>
              <w:start w:w="90" w:type="dxa"/>
              <w:bottom w:w="80" w:type="dxa"/>
              <w:end w:w="90" w:type="dxa"/>
            </w:tcMar>
            <w:vAlign w:val="center"/>
          </w:tcPr>
          <w:p>
            <w:pPr>
              <w:pStyle w:val="ListBullet"/>
              <w:spacing w:after="30" w:line="230" w:lineRule="auto"/>
            </w:pPr>
            <w:r/>
            <w:r>
              <w:rPr>
                <w:rFonts w:ascii="Times New Roman" w:hAnsi="Times New Roman" w:eastAsia="Times New Roman"/>
                <w:sz w:val="19"/>
              </w:rPr>
              <w:t>You describe the path from raw images to model-ready tensors: resize to 224x224, normalize with ImageNet values, and batch the data.</w:t>
            </w:r>
          </w:p>
          <w:p>
            <w:pPr>
              <w:pStyle w:val="ListBullet"/>
              <w:spacing w:after="30" w:line="230" w:lineRule="auto"/>
            </w:pPr>
            <w:r>
              <w:rPr>
                <w:rFonts w:ascii="Times New Roman" w:hAnsi="Times New Roman" w:eastAsia="Times New Roman"/>
                <w:sz w:val="19"/>
              </w:rPr>
              <w:t>You explain why transfer learning helps here.</w:t>
            </w:r>
          </w:p>
          <w:p>
            <w:pPr>
              <w:pStyle w:val="ListBullet"/>
              <w:spacing w:after="30" w:line="230" w:lineRule="auto"/>
            </w:pPr>
            <w:r>
              <w:rPr>
                <w:rFonts w:ascii="Times New Roman" w:hAnsi="Times New Roman" w:eastAsia="Times New Roman"/>
                <w:sz w:val="19"/>
              </w:rPr>
              <w:t>You compare ResNet-50 and DenseNet-121 by their design idea, not by name alone: skip connections for ResNet, dense feature reuse for DenseNet.</w:t>
            </w:r>
          </w:p>
        </w:tc>
      </w:tr>
      <w:tr>
        <w:trPr>
          <w:cantSplit w:val="true"/>
        </w:trPr>
        <w:tc>
          <w:tcPr>
            <w:tcW w:type="dxa" w:w="2232"/>
            <w:vAlign w:val="center"/>
            <w:tcMar>
              <w:top w:w="80" w:type="dxa"/>
              <w:start w:w="90" w:type="dxa"/>
              <w:bottom w:w="80" w:type="dxa"/>
              <w:end w:w="90" w:type="dxa"/>
            </w:tcMar>
          </w:tcPr>
          <w:p>
            <w:pPr>
              <w:spacing w:after="0"/>
            </w:pPr>
            <w:r>
              <w:rPr>
                <w:rFonts w:ascii="Times New Roman" w:hAnsi="Times New Roman" w:eastAsia="Times New Roman"/>
                <w:b/>
                <w:sz w:val="20"/>
              </w:rPr>
              <w:t>Evaluation and comparison</w:t>
            </w:r>
          </w:p>
        </w:tc>
        <w:tc>
          <w:tcPr>
            <w:tcW w:type="dxa" w:w="9000"/>
            <w:tcMar>
              <w:top w:w="80" w:type="dxa"/>
              <w:start w:w="90" w:type="dxa"/>
              <w:bottom w:w="80" w:type="dxa"/>
              <w:end w:w="90" w:type="dxa"/>
            </w:tcMar>
            <w:vAlign w:val="center"/>
          </w:tcPr>
          <w:p>
            <w:pPr>
              <w:pStyle w:val="ListBullet"/>
              <w:spacing w:after="30" w:line="230" w:lineRule="auto"/>
            </w:pPr>
            <w:r/>
            <w:r>
              <w:rPr>
                <w:rFonts w:ascii="Times New Roman" w:hAnsi="Times New Roman" w:eastAsia="Times New Roman"/>
                <w:sz w:val="19"/>
              </w:rPr>
              <w:t>You report accuracy, precision, recall, and F1 for both models.</w:t>
            </w:r>
          </w:p>
          <w:p>
            <w:pPr>
              <w:pStyle w:val="ListBullet"/>
              <w:spacing w:after="30" w:line="230" w:lineRule="auto"/>
            </w:pPr>
            <w:r>
              <w:rPr>
                <w:rFonts w:ascii="Times New Roman" w:hAnsi="Times New Roman" w:eastAsia="Times New Roman"/>
                <w:sz w:val="19"/>
              </w:rPr>
              <w:t>You compare the models to the 80 percent project target and the 92.98 percent Bird and Lotfi baseline.</w:t>
            </w:r>
          </w:p>
          <w:p>
            <w:pPr>
              <w:pStyle w:val="ListBullet"/>
              <w:spacing w:after="30" w:line="230" w:lineRule="auto"/>
            </w:pPr>
            <w:r>
              <w:rPr>
                <w:rFonts w:ascii="Times New Roman" w:hAnsi="Times New Roman" w:eastAsia="Times New Roman"/>
                <w:sz w:val="19"/>
              </w:rPr>
              <w:t>You use the confusion matrices to discuss false positives and false negatives instead of saying only that the models were accurate.</w:t>
            </w:r>
          </w:p>
        </w:tc>
      </w:tr>
      <w:tr>
        <w:trPr>
          <w:cantSplit w:val="true"/>
        </w:trPr>
        <w:tc>
          <w:tcPr>
            <w:tcW w:type="dxa" w:w="2232"/>
            <w:vAlign w:val="center"/>
            <w:tcMar>
              <w:top w:w="80" w:type="dxa"/>
              <w:start w:w="90" w:type="dxa"/>
              <w:bottom w:w="80" w:type="dxa"/>
              <w:end w:w="90" w:type="dxa"/>
            </w:tcMar>
          </w:tcPr>
          <w:p>
            <w:pPr>
              <w:spacing w:after="0"/>
            </w:pPr>
            <w:r>
              <w:rPr>
                <w:rFonts w:ascii="Times New Roman" w:hAnsi="Times New Roman" w:eastAsia="Times New Roman"/>
                <w:b/>
                <w:sz w:val="20"/>
              </w:rPr>
              <w:t>Grad-CAM and interpretation</w:t>
            </w:r>
          </w:p>
        </w:tc>
        <w:tc>
          <w:tcPr>
            <w:tcW w:type="dxa" w:w="9000"/>
            <w:tcMar>
              <w:top w:w="80" w:type="dxa"/>
              <w:start w:w="90" w:type="dxa"/>
              <w:bottom w:w="80" w:type="dxa"/>
              <w:end w:w="90" w:type="dxa"/>
            </w:tcMar>
            <w:vAlign w:val="center"/>
          </w:tcPr>
          <w:p>
            <w:pPr>
              <w:pStyle w:val="ListBullet"/>
              <w:spacing w:after="30" w:line="230" w:lineRule="auto"/>
            </w:pPr>
            <w:r/>
            <w:r>
              <w:rPr>
                <w:rFonts w:ascii="Times New Roman" w:hAnsi="Times New Roman" w:eastAsia="Times New Roman"/>
                <w:sz w:val="19"/>
              </w:rPr>
              <w:t>You include at least one Grad-CAM example or a written interpretation of the provided Grad-CAM outputs.</w:t>
            </w:r>
          </w:p>
          <w:p>
            <w:pPr>
              <w:pStyle w:val="ListBullet"/>
              <w:spacing w:after="30" w:line="230" w:lineRule="auto"/>
            </w:pPr>
            <w:r>
              <w:rPr>
                <w:rFonts w:ascii="Times New Roman" w:hAnsi="Times New Roman" w:eastAsia="Times New Roman"/>
                <w:sz w:val="19"/>
              </w:rPr>
              <w:t>You explain what Grad-CAM can suggest and what it cannot prove.</w:t>
            </w:r>
          </w:p>
          <w:p>
            <w:pPr>
              <w:pStyle w:val="ListBullet"/>
              <w:spacing w:after="30" w:line="230" w:lineRule="auto"/>
            </w:pPr>
            <w:r>
              <w:rPr>
                <w:rFonts w:ascii="Times New Roman" w:hAnsi="Times New Roman" w:eastAsia="Times New Roman"/>
                <w:sz w:val="19"/>
              </w:rPr>
              <w:t>You connect interpretability back to the original question: would the detector help a human make a better judgment?</w:t>
            </w:r>
          </w:p>
        </w:tc>
      </w:tr>
      <w:tr>
        <w:trPr>
          <w:cantSplit w:val="true"/>
        </w:trPr>
        <w:tc>
          <w:tcPr>
            <w:tcW w:type="dxa" w:w="2232"/>
            <w:vAlign w:val="center"/>
            <w:tcMar>
              <w:top w:w="80" w:type="dxa"/>
              <w:start w:w="90" w:type="dxa"/>
              <w:bottom w:w="80" w:type="dxa"/>
              <w:end w:w="90" w:type="dxa"/>
            </w:tcMar>
          </w:tcPr>
          <w:p>
            <w:pPr>
              <w:spacing w:after="0"/>
            </w:pPr>
            <w:r>
              <w:rPr>
                <w:rFonts w:ascii="Times New Roman" w:hAnsi="Times New Roman" w:eastAsia="Times New Roman"/>
                <w:b/>
                <w:sz w:val="20"/>
              </w:rPr>
              <w:t>Conclusion and limits</w:t>
            </w:r>
          </w:p>
        </w:tc>
        <w:tc>
          <w:tcPr>
            <w:tcW w:type="dxa" w:w="9000"/>
            <w:tcMar>
              <w:top w:w="80" w:type="dxa"/>
              <w:start w:w="90" w:type="dxa"/>
              <w:bottom w:w="80" w:type="dxa"/>
              <w:end w:w="90" w:type="dxa"/>
            </w:tcMar>
            <w:vAlign w:val="center"/>
          </w:tcPr>
          <w:p>
            <w:pPr>
              <w:pStyle w:val="ListBullet"/>
              <w:spacing w:after="30" w:line="230" w:lineRule="auto"/>
            </w:pPr>
            <w:r/>
            <w:r>
              <w:rPr>
                <w:rFonts w:ascii="Times New Roman" w:hAnsi="Times New Roman" w:eastAsia="Times New Roman"/>
                <w:sz w:val="19"/>
              </w:rPr>
              <w:t>You make a clear claim about which model performed best on this dataset.</w:t>
            </w:r>
          </w:p>
          <w:p>
            <w:pPr>
              <w:pStyle w:val="ListBullet"/>
              <w:spacing w:after="30" w:line="230" w:lineRule="auto"/>
            </w:pPr>
            <w:r>
              <w:rPr>
                <w:rFonts w:ascii="Times New Roman" w:hAnsi="Times New Roman" w:eastAsia="Times New Roman"/>
                <w:sz w:val="19"/>
              </w:rPr>
              <w:t>You explain why 96-97 percent accuracy on CIFAKE does not guarantee real-world deepfake detection.</w:t>
            </w:r>
          </w:p>
          <w:p>
            <w:pPr>
              <w:pStyle w:val="ListBullet"/>
              <w:spacing w:after="30" w:line="230" w:lineRule="auto"/>
            </w:pPr>
            <w:r>
              <w:rPr>
                <w:rFonts w:ascii="Times New Roman" w:hAnsi="Times New Roman" w:eastAsia="Times New Roman"/>
                <w:sz w:val="19"/>
              </w:rPr>
              <w:t>You propose one next test, such as a higher-resolution dataset, a newer generator, or a vision transformer baseline.</w:t>
            </w:r>
          </w:p>
        </w:tc>
      </w:tr>
    </w:tbl>
    <w:p>
      <w:pPr>
        <w:spacing w:before="200" w:after="80"/>
      </w:pPr>
      <w:r>
        <w:rPr>
          <w:rFonts w:ascii="Times New Roman" w:hAnsi="Times New Roman" w:eastAsia="Times New Roman"/>
          <w:b/>
          <w:sz w:val="28"/>
        </w:rPr>
        <w:t>Materials, References, and Submission Notes</w:t>
      </w:r>
    </w:p>
    <w:p>
      <w:pPr>
        <w:spacing w:before="140" w:after="40"/>
      </w:pPr>
      <w:r>
        <w:rPr>
          <w:rFonts w:ascii="Times New Roman" w:hAnsi="Times New Roman" w:eastAsia="Times New Roman"/>
          <w:b/>
          <w:sz w:val="25"/>
        </w:rPr>
        <w:t>Repository Materials</w:t>
      </w:r>
    </w:p>
    <w:p>
      <w:pPr>
        <w:pStyle w:val="ListBullet"/>
        <w:spacing w:after="40" w:line="240" w:lineRule="auto"/>
      </w:pPr>
      <w:r>
        <w:rPr>
          <w:rFonts w:ascii="Times New Roman" w:hAnsi="Times New Roman" w:eastAsia="Times New Roman"/>
          <w:sz w:val="21"/>
        </w:rPr>
        <w:t>README.md: setup path, repository map, Colab workflow, final metrics, and references.</w:t>
      </w:r>
    </w:p>
    <w:p>
      <w:pPr>
        <w:pStyle w:val="ListBullet"/>
        <w:spacing w:after="40" w:line="240" w:lineRule="auto"/>
      </w:pPr>
      <w:r>
        <w:rPr>
          <w:rFonts w:ascii="Times New Roman" w:hAnsi="Times New Roman" w:eastAsia="Times New Roman"/>
          <w:sz w:val="21"/>
        </w:rPr>
        <w:t>scripts/01_EDA.py: local EDA for class balance, samples, image size, brightness, and pixel variance.</w:t>
      </w:r>
    </w:p>
    <w:p>
      <w:pPr>
        <w:pStyle w:val="ListBullet"/>
        <w:spacing w:after="40" w:line="240" w:lineRule="auto"/>
      </w:pPr>
      <w:r>
        <w:rPr>
          <w:rFonts w:ascii="Times New Roman" w:hAnsi="Times New Roman" w:eastAsia="Times New Roman"/>
          <w:sz w:val="21"/>
        </w:rPr>
        <w:t>scripts/02_03_04_preprocess_training.ipynb: preprocessing, ResNet-50 training, DenseNet-121 training, and checkpoint saving.</w:t>
      </w:r>
    </w:p>
    <w:p>
      <w:pPr>
        <w:pStyle w:val="ListBullet"/>
        <w:spacing w:after="40" w:line="240" w:lineRule="auto"/>
      </w:pPr>
      <w:r>
        <w:rPr>
          <w:rFonts w:ascii="Times New Roman" w:hAnsi="Times New Roman" w:eastAsia="Times New Roman"/>
          <w:sz w:val="21"/>
        </w:rPr>
        <w:t>scripts/05_06_07_eval_gradcam_report.ipynb: test evaluation, confusion matrices, Grad-CAM, and summary reporting.</w:t>
      </w:r>
    </w:p>
    <w:p>
      <w:pPr>
        <w:pStyle w:val="ListBullet"/>
        <w:spacing w:after="40" w:line="240" w:lineRule="auto"/>
      </w:pPr>
      <w:r>
        <w:rPr>
          <w:rFonts w:ascii="Times New Roman" w:hAnsi="Times New Roman" w:eastAsia="Times New Roman"/>
          <w:sz w:val="21"/>
        </w:rPr>
        <w:t>output/evaluation/: classification reports, prediction files, confusion matrices, and metrics_summary.csv.</w:t>
      </w:r>
    </w:p>
    <w:p>
      <w:pPr>
        <w:pStyle w:val="ListBullet"/>
        <w:spacing w:after="40" w:line="240" w:lineRule="auto"/>
      </w:pPr>
      <w:r>
        <w:rPr>
          <w:rFonts w:ascii="Times New Roman" w:hAnsi="Times New Roman" w:eastAsia="Times New Roman"/>
          <w:sz w:val="21"/>
        </w:rPr>
        <w:t>output/gradcam/: model-specific Grad-CAM example figures.</w:t>
      </w:r>
    </w:p>
    <w:p>
      <w:pPr>
        <w:spacing w:before="140" w:after="40"/>
      </w:pPr>
      <w:r>
        <w:rPr>
          <w:rFonts w:ascii="Times New Roman" w:hAnsi="Times New Roman" w:eastAsia="Times New Roman"/>
          <w:b/>
          <w:sz w:val="25"/>
        </w:rPr>
        <w:t>Suggested Hard-Copy Sources</w:t>
      </w:r>
    </w:p>
    <w:p>
      <w:pPr>
        <w:pStyle w:val="ListBullet"/>
        <w:spacing w:after="40" w:line="240" w:lineRule="auto"/>
      </w:pPr>
      <w:r>
        <w:rPr>
          <w:rFonts w:ascii="Times New Roman" w:hAnsi="Times New Roman" w:eastAsia="Times New Roman"/>
          <w:sz w:val="21"/>
        </w:rPr>
        <w:t>Explainer: Google DeepMind, Identifying AI-generated images with SynthID. This gives students a readable entry point into AI image identification and watermarking.</w:t>
      </w:r>
    </w:p>
    <w:p>
      <w:pPr>
        <w:pStyle w:val="ListBullet"/>
        <w:spacing w:after="40" w:line="240" w:lineRule="auto"/>
      </w:pPr>
      <w:r>
        <w:rPr>
          <w:rFonts w:ascii="Times New Roman" w:hAnsi="Times New Roman" w:eastAsia="Times New Roman"/>
          <w:sz w:val="21"/>
        </w:rPr>
        <w:t>Technical article: Bird and Lotfi, CIFAKE: Image Classification and Explainable Identification of AI-Generated Synthetic Images. This explains the dataset and baseline that the project uses.</w:t>
      </w:r>
    </w:p>
    <w:p>
      <w:pPr>
        <w:spacing w:before="140" w:after="40"/>
      </w:pPr>
      <w:r>
        <w:rPr>
          <w:rFonts w:ascii="Times New Roman" w:hAnsi="Times New Roman" w:eastAsia="Times New Roman"/>
          <w:b/>
          <w:sz w:val="25"/>
        </w:rPr>
        <w:t>References</w:t>
      </w:r>
    </w:p>
    <w:p>
      <w:pPr>
        <w:pStyle w:val="ListBullet"/>
        <w:spacing w:after="40" w:line="240" w:lineRule="auto"/>
      </w:pPr>
      <w:r>
        <w:rPr>
          <w:rFonts w:ascii="Times New Roman" w:hAnsi="Times New Roman" w:eastAsia="Times New Roman"/>
          <w:sz w:val="21"/>
        </w:rPr>
        <w:t>Bird, J. J., and Lotfi, A. (2024). CIFAKE: Image Classification and Explainable Identification of AI-Generated Synthetic Images. IEEE Access. doi: 10.1109/ACCESS.2024.3356122.</w:t>
      </w:r>
    </w:p>
    <w:p>
      <w:pPr>
        <w:pStyle w:val="ListBullet"/>
        <w:spacing w:after="40" w:line="240" w:lineRule="auto"/>
      </w:pPr>
      <w:r>
        <w:rPr>
          <w:rFonts w:ascii="Times New Roman" w:hAnsi="Times New Roman" w:eastAsia="Times New Roman"/>
          <w:sz w:val="21"/>
        </w:rPr>
        <w:t>CIFAKE dataset. Kaggle: birdy654/cifake-real-and-ai-generated-synthetic-images.</w:t>
      </w:r>
    </w:p>
    <w:p>
      <w:pPr>
        <w:pStyle w:val="ListBullet"/>
        <w:spacing w:after="40" w:line="240" w:lineRule="auto"/>
      </w:pPr>
      <w:r>
        <w:rPr>
          <w:rFonts w:ascii="Times New Roman" w:hAnsi="Times New Roman" w:eastAsia="Times New Roman"/>
          <w:sz w:val="21"/>
        </w:rPr>
        <w:t>Google DeepMind. Identifying AI-generated images with SynthID.</w:t>
      </w:r>
    </w:p>
    <w:p>
      <w:pPr>
        <w:pStyle w:val="ListBullet"/>
        <w:spacing w:after="40" w:line="240" w:lineRule="auto"/>
      </w:pPr>
      <w:r>
        <w:rPr>
          <w:rFonts w:ascii="Times New Roman" w:hAnsi="Times New Roman" w:eastAsia="Times New Roman"/>
          <w:sz w:val="21"/>
        </w:rPr>
        <w:t>He, K., Zhang, X., Ren, S., and Sun, J. (2016). Deep Residual Learning for Image Recognition. CVPR.</w:t>
      </w:r>
    </w:p>
    <w:p>
      <w:pPr>
        <w:pStyle w:val="ListBullet"/>
        <w:spacing w:after="40" w:line="240" w:lineRule="auto"/>
      </w:pPr>
      <w:r>
        <w:rPr>
          <w:rFonts w:ascii="Times New Roman" w:hAnsi="Times New Roman" w:eastAsia="Times New Roman"/>
          <w:sz w:val="21"/>
        </w:rPr>
        <w:t>Huang, G., Liu, Z., van der Maaten, L., and Weinberger, K. Q. (2017). Densely Connected Convolutional Networks. CVPR.</w:t>
      </w:r>
    </w:p>
    <w:p>
      <w:pPr>
        <w:pStyle w:val="ListBullet"/>
        <w:spacing w:after="40" w:line="240" w:lineRule="auto"/>
      </w:pPr>
      <w:r>
        <w:rPr>
          <w:rFonts w:ascii="Times New Roman" w:hAnsi="Times New Roman" w:eastAsia="Times New Roman"/>
          <w:sz w:val="21"/>
        </w:rPr>
        <w:t>Selvaraju, R. R., Cogswell, M., Das, A., Vedantam, R., Parikh, D., and Batra, D. (2017). Grad-CAM. ICCV.</w:t>
      </w:r>
    </w:p>
    <w:p>
      <w:pPr>
        <w:spacing w:before="140" w:after="40"/>
      </w:pPr>
      <w:r>
        <w:rPr>
          <w:rFonts w:ascii="Times New Roman" w:hAnsi="Times New Roman" w:eastAsia="Times New Roman"/>
          <w:b/>
          <w:sz w:val="25"/>
        </w:rPr>
        <w:t>Print Packet Checklist</w:t>
      </w:r>
    </w:p>
    <w:p>
      <w:pPr>
        <w:pStyle w:val="ListBullet"/>
        <w:spacing w:after="40" w:line="240" w:lineRule="auto"/>
      </w:pPr>
      <w:r>
        <w:rPr>
          <w:rFonts w:ascii="Times New Roman" w:hAnsi="Times New Roman" w:eastAsia="Times New Roman"/>
          <w:sz w:val="21"/>
        </w:rPr>
        <w:t>Place the one-page hook document on the left front of the manila folder.</w:t>
      </w:r>
    </w:p>
    <w:p>
      <w:pPr>
        <w:pStyle w:val="ListBullet"/>
        <w:spacing w:after="40" w:line="240" w:lineRule="auto"/>
      </w:pPr>
      <w:r>
        <w:rPr>
          <w:rFonts w:ascii="Times New Roman" w:hAnsi="Times New Roman" w:eastAsia="Times New Roman"/>
          <w:sz w:val="21"/>
        </w:rPr>
        <w:t>Place the student rubric behind the hook document.</w:t>
      </w:r>
    </w:p>
    <w:p>
      <w:pPr>
        <w:pStyle w:val="ListBullet"/>
        <w:spacing w:after="40" w:line="240" w:lineRule="auto"/>
      </w:pPr>
      <w:r>
        <w:rPr>
          <w:rFonts w:ascii="Times New Roman" w:hAnsi="Times New Roman" w:eastAsia="Times New Roman"/>
          <w:sz w:val="21"/>
        </w:rPr>
        <w:t>Print the SynthID explainer and the CIFAKE article or article landing page for the right side.</w:t>
      </w:r>
    </w:p>
    <w:p>
      <w:pPr>
        <w:pStyle w:val="ListBullet"/>
        <w:spacing w:after="40" w:line="240" w:lineRule="auto"/>
      </w:pPr>
      <w:r>
        <w:rPr>
          <w:rFonts w:ascii="Times New Roman" w:hAnsi="Times New Roman" w:eastAsia="Times New Roman"/>
          <w:sz w:val="21"/>
        </w:rPr>
        <w:t>Submit the GitHub repository link on Canvas. The physical folder still needs to go to SDS room 436.</w:t>
      </w:r>
    </w:p>
    <w:sectPr w:rsidR="00FC693F" w:rsidRPr="0006063C" w:rsidSect="00034616">
      <w:pgSz w:w="12240" w:h="15840"/>
      <w:pgMar w:top="1181"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ngadv12/KALz_Project_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