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960519" w14:textId="77777777" w:rsidR="00542C2D" w:rsidRDefault="00000000">
      <w:pPr>
        <w:spacing w:after="60"/>
      </w:pPr>
      <w:r>
        <w:rPr>
          <w:b/>
          <w:bCs/>
          <w:color w:val="2E6DA4"/>
          <w:sz w:val="38"/>
          <w:szCs w:val="38"/>
        </w:rPr>
        <w:t>Discussion and Justification of Results</w:t>
      </w:r>
    </w:p>
    <w:p w14:paraId="7696051A" w14:textId="77777777" w:rsidR="00542C2D" w:rsidRDefault="00000000">
      <w:pPr>
        <w:pBdr>
          <w:bottom w:val="single" w:sz="6" w:space="2" w:color="2E6DA4"/>
        </w:pBdr>
        <w:spacing w:after="60"/>
      </w:pPr>
      <w:r>
        <w:rPr>
          <w:color w:val="555555"/>
          <w:sz w:val="23"/>
          <w:szCs w:val="23"/>
        </w:rPr>
        <w:t>BERT Fine-Tuning for Mental-Health Text Classification (7-class) — 5-Model Comparison</w:t>
      </w:r>
    </w:p>
    <w:p w14:paraId="7696051B" w14:textId="77777777" w:rsidR="00542C2D" w:rsidRDefault="00000000">
      <w:pPr>
        <w:spacing w:after="200"/>
      </w:pPr>
      <w:r>
        <w:rPr>
          <w:i/>
          <w:iCs/>
          <w:color w:val="777777"/>
          <w:sz w:val="17"/>
          <w:szCs w:val="17"/>
        </w:rPr>
        <w:t xml:space="preserve">Model: </w:t>
      </w:r>
      <w:proofErr w:type="spellStart"/>
      <w:r>
        <w:rPr>
          <w:i/>
          <w:iCs/>
          <w:color w:val="777777"/>
          <w:sz w:val="17"/>
          <w:szCs w:val="17"/>
        </w:rPr>
        <w:t>bert</w:t>
      </w:r>
      <w:proofErr w:type="spellEnd"/>
      <w:r>
        <w:rPr>
          <w:i/>
          <w:iCs/>
          <w:color w:val="777777"/>
          <w:sz w:val="17"/>
          <w:szCs w:val="17"/>
        </w:rPr>
        <w:t>-base-uncased · Dataset: 103,487 samples · Split: 82,789 / 10,349 / 10,349 (80/10/10, stratified) · 3 epochs</w:t>
      </w:r>
    </w:p>
    <w:p w14:paraId="7696051C" w14:textId="77777777" w:rsidR="00542C2D" w:rsidRDefault="00000000">
      <w:pPr>
        <w:pStyle w:val="Heading1"/>
      </w:pPr>
      <w:r>
        <w:t>Overview of Results</w:t>
      </w:r>
    </w:p>
    <w:p w14:paraId="7696051D" w14:textId="77777777" w:rsidR="00542C2D" w:rsidRDefault="00000000">
      <w:pPr>
        <w:spacing w:after="140" w:line="276" w:lineRule="auto"/>
      </w:pPr>
      <w:r>
        <w:rPr>
          <w:b/>
          <w:bCs/>
        </w:rPr>
        <w:t>Table 1.</w:t>
      </w:r>
      <w:r>
        <w:t xml:space="preserve"> Configuration and test-set performance of the five models. The best model (O) is highlighted.</w:t>
      </w:r>
    </w:p>
    <w:tbl>
      <w:tblPr>
        <w:tblW w:w="9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29"/>
        <w:gridCol w:w="921"/>
        <w:gridCol w:w="1011"/>
        <w:gridCol w:w="811"/>
        <w:gridCol w:w="949"/>
        <w:gridCol w:w="896"/>
        <w:gridCol w:w="916"/>
        <w:gridCol w:w="916"/>
        <w:gridCol w:w="1011"/>
      </w:tblGrid>
      <w:tr w:rsidR="00542C2D" w14:paraId="76960527" w14:textId="77777777">
        <w:tblPrEx>
          <w:tblCellMar>
            <w:top w:w="0" w:type="dxa"/>
            <w:bottom w:w="0" w:type="dxa"/>
          </w:tblCellMar>
        </w:tblPrEx>
        <w:trPr>
          <w:tblHeader/>
        </w:trPr>
        <w:tc>
          <w:tcPr>
            <w:tcW w:w="2350" w:type="dxa"/>
            <w:tcBorders>
              <w:top w:val="single" w:sz="1" w:space="0" w:color="CCCCCC"/>
              <w:left w:val="single" w:sz="1" w:space="0" w:color="CCCCCC"/>
              <w:bottom w:val="single" w:sz="1" w:space="0" w:color="CCCCCC"/>
              <w:right w:val="single" w:sz="1" w:space="0" w:color="CCCCCC"/>
            </w:tcBorders>
            <w:shd w:val="clear" w:color="auto" w:fill="2E6DA4"/>
            <w:tcMar>
              <w:top w:w="60" w:type="dxa"/>
              <w:left w:w="100" w:type="dxa"/>
              <w:bottom w:w="60" w:type="dxa"/>
              <w:right w:w="100" w:type="dxa"/>
            </w:tcMar>
            <w:vAlign w:val="center"/>
          </w:tcPr>
          <w:p w14:paraId="7696051E" w14:textId="77777777" w:rsidR="00542C2D" w:rsidRDefault="00000000">
            <w:r>
              <w:rPr>
                <w:b/>
                <w:bCs/>
                <w:color w:val="FFFFFF"/>
                <w:sz w:val="18"/>
                <w:szCs w:val="18"/>
              </w:rPr>
              <w:t>Model</w:t>
            </w:r>
          </w:p>
        </w:tc>
        <w:tc>
          <w:tcPr>
            <w:tcW w:w="860" w:type="dxa"/>
            <w:tcBorders>
              <w:top w:val="single" w:sz="1" w:space="0" w:color="CCCCCC"/>
              <w:left w:val="single" w:sz="1" w:space="0" w:color="CCCCCC"/>
              <w:bottom w:val="single" w:sz="1" w:space="0" w:color="CCCCCC"/>
              <w:right w:val="single" w:sz="1" w:space="0" w:color="CCCCCC"/>
            </w:tcBorders>
            <w:shd w:val="clear" w:color="auto" w:fill="2E6DA4"/>
            <w:tcMar>
              <w:top w:w="60" w:type="dxa"/>
              <w:left w:w="100" w:type="dxa"/>
              <w:bottom w:w="60" w:type="dxa"/>
              <w:right w:w="100" w:type="dxa"/>
            </w:tcMar>
            <w:vAlign w:val="center"/>
          </w:tcPr>
          <w:p w14:paraId="7696051F" w14:textId="77777777" w:rsidR="00542C2D" w:rsidRDefault="00000000">
            <w:pPr>
              <w:jc w:val="center"/>
            </w:pPr>
            <w:proofErr w:type="spellStart"/>
            <w:r>
              <w:rPr>
                <w:b/>
                <w:bCs/>
                <w:color w:val="FFFFFF"/>
                <w:sz w:val="18"/>
                <w:szCs w:val="18"/>
              </w:rPr>
              <w:t>max_len</w:t>
            </w:r>
            <w:proofErr w:type="spellEnd"/>
          </w:p>
        </w:tc>
        <w:tc>
          <w:tcPr>
            <w:tcW w:w="1020" w:type="dxa"/>
            <w:tcBorders>
              <w:top w:val="single" w:sz="1" w:space="0" w:color="CCCCCC"/>
              <w:left w:val="single" w:sz="1" w:space="0" w:color="CCCCCC"/>
              <w:bottom w:val="single" w:sz="1" w:space="0" w:color="CCCCCC"/>
              <w:right w:val="single" w:sz="1" w:space="0" w:color="CCCCCC"/>
            </w:tcBorders>
            <w:shd w:val="clear" w:color="auto" w:fill="2E6DA4"/>
            <w:tcMar>
              <w:top w:w="60" w:type="dxa"/>
              <w:left w:w="100" w:type="dxa"/>
              <w:bottom w:w="60" w:type="dxa"/>
              <w:right w:w="100" w:type="dxa"/>
            </w:tcMar>
            <w:vAlign w:val="center"/>
          </w:tcPr>
          <w:p w14:paraId="76960520" w14:textId="77777777" w:rsidR="00542C2D" w:rsidRDefault="00000000">
            <w:pPr>
              <w:jc w:val="center"/>
            </w:pPr>
            <w:r>
              <w:rPr>
                <w:b/>
                <w:bCs/>
                <w:color w:val="FFFFFF"/>
                <w:sz w:val="18"/>
                <w:szCs w:val="18"/>
              </w:rPr>
              <w:t>Eff. batch</w:t>
            </w:r>
          </w:p>
        </w:tc>
        <w:tc>
          <w:tcPr>
            <w:tcW w:w="820" w:type="dxa"/>
            <w:tcBorders>
              <w:top w:val="single" w:sz="1" w:space="0" w:color="CCCCCC"/>
              <w:left w:val="single" w:sz="1" w:space="0" w:color="CCCCCC"/>
              <w:bottom w:val="single" w:sz="1" w:space="0" w:color="CCCCCC"/>
              <w:right w:val="single" w:sz="1" w:space="0" w:color="CCCCCC"/>
            </w:tcBorders>
            <w:shd w:val="clear" w:color="auto" w:fill="2E6DA4"/>
            <w:tcMar>
              <w:top w:w="60" w:type="dxa"/>
              <w:left w:w="100" w:type="dxa"/>
              <w:bottom w:w="60" w:type="dxa"/>
              <w:right w:w="100" w:type="dxa"/>
            </w:tcMar>
            <w:vAlign w:val="center"/>
          </w:tcPr>
          <w:p w14:paraId="76960521" w14:textId="77777777" w:rsidR="00542C2D" w:rsidRDefault="00000000">
            <w:pPr>
              <w:jc w:val="center"/>
            </w:pPr>
            <w:r>
              <w:rPr>
                <w:b/>
                <w:bCs/>
                <w:color w:val="FFFFFF"/>
                <w:sz w:val="18"/>
                <w:szCs w:val="18"/>
              </w:rPr>
              <w:t>LR</w:t>
            </w:r>
          </w:p>
        </w:tc>
        <w:tc>
          <w:tcPr>
            <w:tcW w:w="950" w:type="dxa"/>
            <w:tcBorders>
              <w:top w:val="single" w:sz="1" w:space="0" w:color="CCCCCC"/>
              <w:left w:val="single" w:sz="1" w:space="0" w:color="CCCCCC"/>
              <w:bottom w:val="single" w:sz="1" w:space="0" w:color="CCCCCC"/>
              <w:right w:val="single" w:sz="1" w:space="0" w:color="CCCCCC"/>
            </w:tcBorders>
            <w:shd w:val="clear" w:color="auto" w:fill="2E6DA4"/>
            <w:tcMar>
              <w:top w:w="60" w:type="dxa"/>
              <w:left w:w="100" w:type="dxa"/>
              <w:bottom w:w="60" w:type="dxa"/>
              <w:right w:w="100" w:type="dxa"/>
            </w:tcMar>
            <w:vAlign w:val="center"/>
          </w:tcPr>
          <w:p w14:paraId="76960522" w14:textId="77777777" w:rsidR="00542C2D" w:rsidRDefault="00000000">
            <w:pPr>
              <w:jc w:val="center"/>
            </w:pPr>
            <w:r>
              <w:rPr>
                <w:b/>
                <w:bCs/>
                <w:color w:val="FFFFFF"/>
                <w:sz w:val="18"/>
                <w:szCs w:val="18"/>
              </w:rPr>
              <w:t>Warmup</w:t>
            </w:r>
          </w:p>
        </w:tc>
        <w:tc>
          <w:tcPr>
            <w:tcW w:w="900" w:type="dxa"/>
            <w:tcBorders>
              <w:top w:val="single" w:sz="1" w:space="0" w:color="CCCCCC"/>
              <w:left w:val="single" w:sz="1" w:space="0" w:color="CCCCCC"/>
              <w:bottom w:val="single" w:sz="1" w:space="0" w:color="CCCCCC"/>
              <w:right w:val="single" w:sz="1" w:space="0" w:color="CCCCCC"/>
            </w:tcBorders>
            <w:shd w:val="clear" w:color="auto" w:fill="2E6DA4"/>
            <w:tcMar>
              <w:top w:w="60" w:type="dxa"/>
              <w:left w:w="100" w:type="dxa"/>
              <w:bottom w:w="60" w:type="dxa"/>
              <w:right w:w="100" w:type="dxa"/>
            </w:tcMar>
            <w:vAlign w:val="center"/>
          </w:tcPr>
          <w:p w14:paraId="76960523" w14:textId="77777777" w:rsidR="00542C2D" w:rsidRDefault="00000000">
            <w:pPr>
              <w:jc w:val="center"/>
            </w:pPr>
            <w:r>
              <w:rPr>
                <w:b/>
                <w:bCs/>
                <w:color w:val="FFFFFF"/>
                <w:sz w:val="18"/>
                <w:szCs w:val="18"/>
              </w:rPr>
              <w:t>Val F1</w:t>
            </w:r>
          </w:p>
        </w:tc>
        <w:tc>
          <w:tcPr>
            <w:tcW w:w="920" w:type="dxa"/>
            <w:tcBorders>
              <w:top w:val="single" w:sz="1" w:space="0" w:color="CCCCCC"/>
              <w:left w:val="single" w:sz="1" w:space="0" w:color="CCCCCC"/>
              <w:bottom w:val="single" w:sz="1" w:space="0" w:color="CCCCCC"/>
              <w:right w:val="single" w:sz="1" w:space="0" w:color="CCCCCC"/>
            </w:tcBorders>
            <w:shd w:val="clear" w:color="auto" w:fill="2E6DA4"/>
            <w:tcMar>
              <w:top w:w="60" w:type="dxa"/>
              <w:left w:w="100" w:type="dxa"/>
              <w:bottom w:w="60" w:type="dxa"/>
              <w:right w:w="100" w:type="dxa"/>
            </w:tcMar>
            <w:vAlign w:val="center"/>
          </w:tcPr>
          <w:p w14:paraId="76960524" w14:textId="77777777" w:rsidR="00542C2D" w:rsidRDefault="00000000">
            <w:pPr>
              <w:jc w:val="center"/>
            </w:pPr>
            <w:r>
              <w:rPr>
                <w:b/>
                <w:bCs/>
                <w:color w:val="FFFFFF"/>
                <w:sz w:val="18"/>
                <w:szCs w:val="18"/>
              </w:rPr>
              <w:t>Test F1</w:t>
            </w:r>
          </w:p>
        </w:tc>
        <w:tc>
          <w:tcPr>
            <w:tcW w:w="920" w:type="dxa"/>
            <w:tcBorders>
              <w:top w:val="single" w:sz="1" w:space="0" w:color="CCCCCC"/>
              <w:left w:val="single" w:sz="1" w:space="0" w:color="CCCCCC"/>
              <w:bottom w:val="single" w:sz="1" w:space="0" w:color="CCCCCC"/>
              <w:right w:val="single" w:sz="1" w:space="0" w:color="CCCCCC"/>
            </w:tcBorders>
            <w:shd w:val="clear" w:color="auto" w:fill="2E6DA4"/>
            <w:tcMar>
              <w:top w:w="60" w:type="dxa"/>
              <w:left w:w="100" w:type="dxa"/>
              <w:bottom w:w="60" w:type="dxa"/>
              <w:right w:w="100" w:type="dxa"/>
            </w:tcMar>
            <w:vAlign w:val="center"/>
          </w:tcPr>
          <w:p w14:paraId="76960525" w14:textId="77777777" w:rsidR="00542C2D" w:rsidRDefault="00000000">
            <w:pPr>
              <w:jc w:val="center"/>
            </w:pPr>
            <w:r>
              <w:rPr>
                <w:b/>
                <w:bCs/>
                <w:color w:val="FFFFFF"/>
                <w:sz w:val="18"/>
                <w:szCs w:val="18"/>
              </w:rPr>
              <w:t xml:space="preserve">Test </w:t>
            </w:r>
            <w:proofErr w:type="spellStart"/>
            <w:r>
              <w:rPr>
                <w:b/>
                <w:bCs/>
                <w:color w:val="FFFFFF"/>
                <w:sz w:val="18"/>
                <w:szCs w:val="18"/>
              </w:rPr>
              <w:t>Acc</w:t>
            </w:r>
            <w:proofErr w:type="spellEnd"/>
          </w:p>
        </w:tc>
        <w:tc>
          <w:tcPr>
            <w:tcW w:w="1020" w:type="dxa"/>
            <w:tcBorders>
              <w:top w:val="single" w:sz="1" w:space="0" w:color="CCCCCC"/>
              <w:left w:val="single" w:sz="1" w:space="0" w:color="CCCCCC"/>
              <w:bottom w:val="single" w:sz="1" w:space="0" w:color="CCCCCC"/>
              <w:right w:val="single" w:sz="1" w:space="0" w:color="CCCCCC"/>
            </w:tcBorders>
            <w:shd w:val="clear" w:color="auto" w:fill="2E6DA4"/>
            <w:tcMar>
              <w:top w:w="60" w:type="dxa"/>
              <w:left w:w="100" w:type="dxa"/>
              <w:bottom w:w="60" w:type="dxa"/>
              <w:right w:w="100" w:type="dxa"/>
            </w:tcMar>
            <w:vAlign w:val="center"/>
          </w:tcPr>
          <w:p w14:paraId="76960526" w14:textId="77777777" w:rsidR="00542C2D" w:rsidRDefault="00000000">
            <w:pPr>
              <w:jc w:val="center"/>
            </w:pPr>
            <w:r>
              <w:rPr>
                <w:b/>
                <w:bCs/>
                <w:color w:val="FFFFFF"/>
                <w:sz w:val="18"/>
                <w:szCs w:val="18"/>
              </w:rPr>
              <w:t>Test Loss</w:t>
            </w:r>
          </w:p>
        </w:tc>
      </w:tr>
      <w:tr w:rsidR="00542C2D" w14:paraId="76960531" w14:textId="77777777">
        <w:tblPrEx>
          <w:tblCellMar>
            <w:top w:w="0" w:type="dxa"/>
            <w:bottom w:w="0" w:type="dxa"/>
          </w:tblCellMar>
        </w:tblPrEx>
        <w:tc>
          <w:tcPr>
            <w:tcW w:w="23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6960528" w14:textId="77777777" w:rsidR="00542C2D" w:rsidRDefault="00000000">
            <w:proofErr w:type="spellStart"/>
            <w:r>
              <w:rPr>
                <w:b/>
                <w:bCs/>
                <w:color w:val="000000"/>
                <w:sz w:val="18"/>
                <w:szCs w:val="18"/>
              </w:rPr>
              <w:t>A_baseline</w:t>
            </w:r>
            <w:proofErr w:type="spellEnd"/>
          </w:p>
        </w:tc>
        <w:tc>
          <w:tcPr>
            <w:tcW w:w="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6960529" w14:textId="77777777" w:rsidR="00542C2D" w:rsidRDefault="00000000">
            <w:pPr>
              <w:jc w:val="center"/>
            </w:pPr>
            <w:r>
              <w:rPr>
                <w:color w:val="000000"/>
                <w:sz w:val="18"/>
                <w:szCs w:val="18"/>
              </w:rPr>
              <w:t>256</w:t>
            </w:r>
          </w:p>
        </w:tc>
        <w:tc>
          <w:tcPr>
            <w:tcW w:w="10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696052A" w14:textId="77777777" w:rsidR="00542C2D" w:rsidRDefault="00000000">
            <w:pPr>
              <w:jc w:val="center"/>
            </w:pPr>
            <w:r>
              <w:rPr>
                <w:color w:val="000000"/>
                <w:sz w:val="18"/>
                <w:szCs w:val="18"/>
              </w:rPr>
              <w:t>8</w:t>
            </w:r>
          </w:p>
        </w:tc>
        <w:tc>
          <w:tcPr>
            <w:tcW w:w="8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696052B" w14:textId="77777777" w:rsidR="00542C2D" w:rsidRDefault="00000000">
            <w:pPr>
              <w:jc w:val="center"/>
            </w:pPr>
            <w:r>
              <w:rPr>
                <w:color w:val="000000"/>
                <w:sz w:val="18"/>
                <w:szCs w:val="18"/>
              </w:rPr>
              <w:t>2e-5</w:t>
            </w:r>
          </w:p>
        </w:tc>
        <w:tc>
          <w:tcPr>
            <w:tcW w:w="9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696052C" w14:textId="77777777" w:rsidR="00542C2D" w:rsidRDefault="00000000">
            <w:pPr>
              <w:jc w:val="center"/>
            </w:pPr>
            <w:r>
              <w:rPr>
                <w:color w:val="000000"/>
                <w:sz w:val="18"/>
                <w:szCs w:val="18"/>
              </w:rPr>
              <w:t>0.0</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696052D" w14:textId="77777777" w:rsidR="00542C2D" w:rsidRDefault="00000000">
            <w:pPr>
              <w:jc w:val="center"/>
            </w:pPr>
            <w:r>
              <w:rPr>
                <w:color w:val="000000"/>
                <w:sz w:val="18"/>
                <w:szCs w:val="18"/>
              </w:rPr>
              <w:t>0.9153</w:t>
            </w:r>
          </w:p>
        </w:tc>
        <w:tc>
          <w:tcPr>
            <w:tcW w:w="9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696052E" w14:textId="77777777" w:rsidR="00542C2D" w:rsidRDefault="00000000">
            <w:pPr>
              <w:jc w:val="center"/>
            </w:pPr>
            <w:r>
              <w:rPr>
                <w:color w:val="000000"/>
                <w:sz w:val="18"/>
                <w:szCs w:val="18"/>
              </w:rPr>
              <w:t>0.9182</w:t>
            </w:r>
          </w:p>
        </w:tc>
        <w:tc>
          <w:tcPr>
            <w:tcW w:w="9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696052F" w14:textId="77777777" w:rsidR="00542C2D" w:rsidRDefault="00000000">
            <w:pPr>
              <w:jc w:val="center"/>
            </w:pPr>
            <w:r>
              <w:rPr>
                <w:color w:val="000000"/>
                <w:sz w:val="18"/>
                <w:szCs w:val="18"/>
              </w:rPr>
              <w:t>0.9183</w:t>
            </w:r>
          </w:p>
        </w:tc>
        <w:tc>
          <w:tcPr>
            <w:tcW w:w="10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6960530" w14:textId="77777777" w:rsidR="00542C2D" w:rsidRDefault="00000000">
            <w:pPr>
              <w:jc w:val="center"/>
            </w:pPr>
            <w:r>
              <w:rPr>
                <w:color w:val="000000"/>
                <w:sz w:val="18"/>
                <w:szCs w:val="18"/>
              </w:rPr>
              <w:t>0.361</w:t>
            </w:r>
          </w:p>
        </w:tc>
      </w:tr>
      <w:tr w:rsidR="00542C2D" w14:paraId="7696053B" w14:textId="77777777">
        <w:tblPrEx>
          <w:tblCellMar>
            <w:top w:w="0" w:type="dxa"/>
            <w:bottom w:w="0" w:type="dxa"/>
          </w:tblCellMar>
        </w:tblPrEx>
        <w:tc>
          <w:tcPr>
            <w:tcW w:w="2350" w:type="dxa"/>
            <w:tcBorders>
              <w:top w:val="single" w:sz="1" w:space="0" w:color="CCCCCC"/>
              <w:left w:val="single" w:sz="1" w:space="0" w:color="CCCCCC"/>
              <w:bottom w:val="single" w:sz="1" w:space="0" w:color="CCCCCC"/>
              <w:right w:val="single" w:sz="1" w:space="0" w:color="CCCCCC"/>
            </w:tcBorders>
            <w:shd w:val="clear" w:color="auto" w:fill="EFF4F9"/>
            <w:tcMar>
              <w:top w:w="60" w:type="dxa"/>
              <w:left w:w="100" w:type="dxa"/>
              <w:bottom w:w="60" w:type="dxa"/>
              <w:right w:w="100" w:type="dxa"/>
            </w:tcMar>
            <w:vAlign w:val="center"/>
          </w:tcPr>
          <w:p w14:paraId="76960532" w14:textId="77777777" w:rsidR="00542C2D" w:rsidRDefault="00000000">
            <w:r>
              <w:rPr>
                <w:b/>
                <w:bCs/>
                <w:color w:val="000000"/>
                <w:sz w:val="18"/>
                <w:szCs w:val="18"/>
              </w:rPr>
              <w:t>F_baseline_512</w:t>
            </w:r>
          </w:p>
        </w:tc>
        <w:tc>
          <w:tcPr>
            <w:tcW w:w="860" w:type="dxa"/>
            <w:tcBorders>
              <w:top w:val="single" w:sz="1" w:space="0" w:color="CCCCCC"/>
              <w:left w:val="single" w:sz="1" w:space="0" w:color="CCCCCC"/>
              <w:bottom w:val="single" w:sz="1" w:space="0" w:color="CCCCCC"/>
              <w:right w:val="single" w:sz="1" w:space="0" w:color="CCCCCC"/>
            </w:tcBorders>
            <w:shd w:val="clear" w:color="auto" w:fill="EFF4F9"/>
            <w:tcMar>
              <w:top w:w="60" w:type="dxa"/>
              <w:left w:w="100" w:type="dxa"/>
              <w:bottom w:w="60" w:type="dxa"/>
              <w:right w:w="100" w:type="dxa"/>
            </w:tcMar>
            <w:vAlign w:val="center"/>
          </w:tcPr>
          <w:p w14:paraId="76960533" w14:textId="77777777" w:rsidR="00542C2D" w:rsidRDefault="00000000">
            <w:pPr>
              <w:jc w:val="center"/>
            </w:pPr>
            <w:r>
              <w:rPr>
                <w:color w:val="000000"/>
                <w:sz w:val="18"/>
                <w:szCs w:val="18"/>
              </w:rPr>
              <w:t>512</w:t>
            </w:r>
          </w:p>
        </w:tc>
        <w:tc>
          <w:tcPr>
            <w:tcW w:w="1020" w:type="dxa"/>
            <w:tcBorders>
              <w:top w:val="single" w:sz="1" w:space="0" w:color="CCCCCC"/>
              <w:left w:val="single" w:sz="1" w:space="0" w:color="CCCCCC"/>
              <w:bottom w:val="single" w:sz="1" w:space="0" w:color="CCCCCC"/>
              <w:right w:val="single" w:sz="1" w:space="0" w:color="CCCCCC"/>
            </w:tcBorders>
            <w:shd w:val="clear" w:color="auto" w:fill="EFF4F9"/>
            <w:tcMar>
              <w:top w:w="60" w:type="dxa"/>
              <w:left w:w="100" w:type="dxa"/>
              <w:bottom w:w="60" w:type="dxa"/>
              <w:right w:w="100" w:type="dxa"/>
            </w:tcMar>
            <w:vAlign w:val="center"/>
          </w:tcPr>
          <w:p w14:paraId="76960534" w14:textId="77777777" w:rsidR="00542C2D" w:rsidRDefault="00000000">
            <w:pPr>
              <w:jc w:val="center"/>
            </w:pPr>
            <w:r>
              <w:rPr>
                <w:color w:val="000000"/>
                <w:sz w:val="18"/>
                <w:szCs w:val="18"/>
              </w:rPr>
              <w:t>8</w:t>
            </w:r>
          </w:p>
        </w:tc>
        <w:tc>
          <w:tcPr>
            <w:tcW w:w="820" w:type="dxa"/>
            <w:tcBorders>
              <w:top w:val="single" w:sz="1" w:space="0" w:color="CCCCCC"/>
              <w:left w:val="single" w:sz="1" w:space="0" w:color="CCCCCC"/>
              <w:bottom w:val="single" w:sz="1" w:space="0" w:color="CCCCCC"/>
              <w:right w:val="single" w:sz="1" w:space="0" w:color="CCCCCC"/>
            </w:tcBorders>
            <w:shd w:val="clear" w:color="auto" w:fill="EFF4F9"/>
            <w:tcMar>
              <w:top w:w="60" w:type="dxa"/>
              <w:left w:w="100" w:type="dxa"/>
              <w:bottom w:w="60" w:type="dxa"/>
              <w:right w:w="100" w:type="dxa"/>
            </w:tcMar>
            <w:vAlign w:val="center"/>
          </w:tcPr>
          <w:p w14:paraId="76960535" w14:textId="77777777" w:rsidR="00542C2D" w:rsidRDefault="00000000">
            <w:pPr>
              <w:jc w:val="center"/>
            </w:pPr>
            <w:r>
              <w:rPr>
                <w:color w:val="000000"/>
                <w:sz w:val="18"/>
                <w:szCs w:val="18"/>
              </w:rPr>
              <w:t>2e-5</w:t>
            </w:r>
          </w:p>
        </w:tc>
        <w:tc>
          <w:tcPr>
            <w:tcW w:w="950" w:type="dxa"/>
            <w:tcBorders>
              <w:top w:val="single" w:sz="1" w:space="0" w:color="CCCCCC"/>
              <w:left w:val="single" w:sz="1" w:space="0" w:color="CCCCCC"/>
              <w:bottom w:val="single" w:sz="1" w:space="0" w:color="CCCCCC"/>
              <w:right w:val="single" w:sz="1" w:space="0" w:color="CCCCCC"/>
            </w:tcBorders>
            <w:shd w:val="clear" w:color="auto" w:fill="EFF4F9"/>
            <w:tcMar>
              <w:top w:w="60" w:type="dxa"/>
              <w:left w:w="100" w:type="dxa"/>
              <w:bottom w:w="60" w:type="dxa"/>
              <w:right w:w="100" w:type="dxa"/>
            </w:tcMar>
            <w:vAlign w:val="center"/>
          </w:tcPr>
          <w:p w14:paraId="76960536" w14:textId="77777777" w:rsidR="00542C2D" w:rsidRDefault="00000000">
            <w:pPr>
              <w:jc w:val="center"/>
            </w:pPr>
            <w:r>
              <w:rPr>
                <w:color w:val="000000"/>
                <w:sz w:val="18"/>
                <w:szCs w:val="18"/>
              </w:rPr>
              <w:t>0.0</w:t>
            </w:r>
          </w:p>
        </w:tc>
        <w:tc>
          <w:tcPr>
            <w:tcW w:w="900" w:type="dxa"/>
            <w:tcBorders>
              <w:top w:val="single" w:sz="1" w:space="0" w:color="CCCCCC"/>
              <w:left w:val="single" w:sz="1" w:space="0" w:color="CCCCCC"/>
              <w:bottom w:val="single" w:sz="1" w:space="0" w:color="CCCCCC"/>
              <w:right w:val="single" w:sz="1" w:space="0" w:color="CCCCCC"/>
            </w:tcBorders>
            <w:shd w:val="clear" w:color="auto" w:fill="EFF4F9"/>
            <w:tcMar>
              <w:top w:w="60" w:type="dxa"/>
              <w:left w:w="100" w:type="dxa"/>
              <w:bottom w:w="60" w:type="dxa"/>
              <w:right w:w="100" w:type="dxa"/>
            </w:tcMar>
            <w:vAlign w:val="center"/>
          </w:tcPr>
          <w:p w14:paraId="76960537" w14:textId="77777777" w:rsidR="00542C2D" w:rsidRDefault="00000000">
            <w:pPr>
              <w:jc w:val="center"/>
            </w:pPr>
            <w:r>
              <w:rPr>
                <w:color w:val="000000"/>
                <w:sz w:val="18"/>
                <w:szCs w:val="18"/>
              </w:rPr>
              <w:t>0.9200</w:t>
            </w:r>
          </w:p>
        </w:tc>
        <w:tc>
          <w:tcPr>
            <w:tcW w:w="920" w:type="dxa"/>
            <w:tcBorders>
              <w:top w:val="single" w:sz="1" w:space="0" w:color="CCCCCC"/>
              <w:left w:val="single" w:sz="1" w:space="0" w:color="CCCCCC"/>
              <w:bottom w:val="single" w:sz="1" w:space="0" w:color="CCCCCC"/>
              <w:right w:val="single" w:sz="1" w:space="0" w:color="CCCCCC"/>
            </w:tcBorders>
            <w:shd w:val="clear" w:color="auto" w:fill="EFF4F9"/>
            <w:tcMar>
              <w:top w:w="60" w:type="dxa"/>
              <w:left w:w="100" w:type="dxa"/>
              <w:bottom w:w="60" w:type="dxa"/>
              <w:right w:w="100" w:type="dxa"/>
            </w:tcMar>
            <w:vAlign w:val="center"/>
          </w:tcPr>
          <w:p w14:paraId="76960538" w14:textId="77777777" w:rsidR="00542C2D" w:rsidRDefault="00000000">
            <w:pPr>
              <w:jc w:val="center"/>
            </w:pPr>
            <w:r>
              <w:rPr>
                <w:color w:val="000000"/>
                <w:sz w:val="18"/>
                <w:szCs w:val="18"/>
              </w:rPr>
              <w:t>0.9208</w:t>
            </w:r>
          </w:p>
        </w:tc>
        <w:tc>
          <w:tcPr>
            <w:tcW w:w="920" w:type="dxa"/>
            <w:tcBorders>
              <w:top w:val="single" w:sz="1" w:space="0" w:color="CCCCCC"/>
              <w:left w:val="single" w:sz="1" w:space="0" w:color="CCCCCC"/>
              <w:bottom w:val="single" w:sz="1" w:space="0" w:color="CCCCCC"/>
              <w:right w:val="single" w:sz="1" w:space="0" w:color="CCCCCC"/>
            </w:tcBorders>
            <w:shd w:val="clear" w:color="auto" w:fill="EFF4F9"/>
            <w:tcMar>
              <w:top w:w="60" w:type="dxa"/>
              <w:left w:w="100" w:type="dxa"/>
              <w:bottom w:w="60" w:type="dxa"/>
              <w:right w:w="100" w:type="dxa"/>
            </w:tcMar>
            <w:vAlign w:val="center"/>
          </w:tcPr>
          <w:p w14:paraId="76960539" w14:textId="77777777" w:rsidR="00542C2D" w:rsidRDefault="00000000">
            <w:pPr>
              <w:jc w:val="center"/>
            </w:pPr>
            <w:r>
              <w:rPr>
                <w:color w:val="000000"/>
                <w:sz w:val="18"/>
                <w:szCs w:val="18"/>
              </w:rPr>
              <w:t>0.9208</w:t>
            </w:r>
          </w:p>
        </w:tc>
        <w:tc>
          <w:tcPr>
            <w:tcW w:w="1020" w:type="dxa"/>
            <w:tcBorders>
              <w:top w:val="single" w:sz="1" w:space="0" w:color="CCCCCC"/>
              <w:left w:val="single" w:sz="1" w:space="0" w:color="CCCCCC"/>
              <w:bottom w:val="single" w:sz="1" w:space="0" w:color="CCCCCC"/>
              <w:right w:val="single" w:sz="1" w:space="0" w:color="CCCCCC"/>
            </w:tcBorders>
            <w:shd w:val="clear" w:color="auto" w:fill="EFF4F9"/>
            <w:tcMar>
              <w:top w:w="60" w:type="dxa"/>
              <w:left w:w="100" w:type="dxa"/>
              <w:bottom w:w="60" w:type="dxa"/>
              <w:right w:w="100" w:type="dxa"/>
            </w:tcMar>
            <w:vAlign w:val="center"/>
          </w:tcPr>
          <w:p w14:paraId="7696053A" w14:textId="77777777" w:rsidR="00542C2D" w:rsidRDefault="00000000">
            <w:pPr>
              <w:jc w:val="center"/>
            </w:pPr>
            <w:r>
              <w:rPr>
                <w:color w:val="000000"/>
                <w:sz w:val="18"/>
                <w:szCs w:val="18"/>
              </w:rPr>
              <w:t>0.400</w:t>
            </w:r>
          </w:p>
        </w:tc>
      </w:tr>
      <w:tr w:rsidR="00542C2D" w14:paraId="76960545" w14:textId="77777777">
        <w:tblPrEx>
          <w:tblCellMar>
            <w:top w:w="0" w:type="dxa"/>
            <w:bottom w:w="0" w:type="dxa"/>
          </w:tblCellMar>
        </w:tblPrEx>
        <w:tc>
          <w:tcPr>
            <w:tcW w:w="2350" w:type="dxa"/>
            <w:tcBorders>
              <w:top w:val="single" w:sz="1" w:space="0" w:color="CCCCCC"/>
              <w:left w:val="single" w:sz="1" w:space="0" w:color="CCCCCC"/>
              <w:bottom w:val="single" w:sz="1" w:space="0" w:color="CCCCCC"/>
              <w:right w:val="single" w:sz="1" w:space="0" w:color="CCCCCC"/>
            </w:tcBorders>
            <w:shd w:val="clear" w:color="auto" w:fill="E3F0D9"/>
            <w:tcMar>
              <w:top w:w="60" w:type="dxa"/>
              <w:left w:w="100" w:type="dxa"/>
              <w:bottom w:w="60" w:type="dxa"/>
              <w:right w:w="100" w:type="dxa"/>
            </w:tcMar>
            <w:vAlign w:val="center"/>
          </w:tcPr>
          <w:p w14:paraId="7696053C" w14:textId="77777777" w:rsidR="00542C2D" w:rsidRDefault="00000000">
            <w:r>
              <w:rPr>
                <w:b/>
                <w:bCs/>
                <w:color w:val="000000"/>
                <w:sz w:val="18"/>
                <w:szCs w:val="18"/>
              </w:rPr>
              <w:t>O_warmup_512 ★</w:t>
            </w:r>
          </w:p>
        </w:tc>
        <w:tc>
          <w:tcPr>
            <w:tcW w:w="860" w:type="dxa"/>
            <w:tcBorders>
              <w:top w:val="single" w:sz="1" w:space="0" w:color="CCCCCC"/>
              <w:left w:val="single" w:sz="1" w:space="0" w:color="CCCCCC"/>
              <w:bottom w:val="single" w:sz="1" w:space="0" w:color="CCCCCC"/>
              <w:right w:val="single" w:sz="1" w:space="0" w:color="CCCCCC"/>
            </w:tcBorders>
            <w:shd w:val="clear" w:color="auto" w:fill="E3F0D9"/>
            <w:tcMar>
              <w:top w:w="60" w:type="dxa"/>
              <w:left w:w="100" w:type="dxa"/>
              <w:bottom w:w="60" w:type="dxa"/>
              <w:right w:w="100" w:type="dxa"/>
            </w:tcMar>
            <w:vAlign w:val="center"/>
          </w:tcPr>
          <w:p w14:paraId="7696053D" w14:textId="77777777" w:rsidR="00542C2D" w:rsidRDefault="00000000">
            <w:pPr>
              <w:jc w:val="center"/>
            </w:pPr>
            <w:r>
              <w:rPr>
                <w:color w:val="000000"/>
                <w:sz w:val="18"/>
                <w:szCs w:val="18"/>
              </w:rPr>
              <w:t>512</w:t>
            </w:r>
          </w:p>
        </w:tc>
        <w:tc>
          <w:tcPr>
            <w:tcW w:w="1020" w:type="dxa"/>
            <w:tcBorders>
              <w:top w:val="single" w:sz="1" w:space="0" w:color="CCCCCC"/>
              <w:left w:val="single" w:sz="1" w:space="0" w:color="CCCCCC"/>
              <w:bottom w:val="single" w:sz="1" w:space="0" w:color="CCCCCC"/>
              <w:right w:val="single" w:sz="1" w:space="0" w:color="CCCCCC"/>
            </w:tcBorders>
            <w:shd w:val="clear" w:color="auto" w:fill="E3F0D9"/>
            <w:tcMar>
              <w:top w:w="60" w:type="dxa"/>
              <w:left w:w="100" w:type="dxa"/>
              <w:bottom w:w="60" w:type="dxa"/>
              <w:right w:w="100" w:type="dxa"/>
            </w:tcMar>
            <w:vAlign w:val="center"/>
          </w:tcPr>
          <w:p w14:paraId="7696053E" w14:textId="77777777" w:rsidR="00542C2D" w:rsidRDefault="00000000">
            <w:pPr>
              <w:jc w:val="center"/>
            </w:pPr>
            <w:r>
              <w:rPr>
                <w:color w:val="000000"/>
                <w:sz w:val="18"/>
                <w:szCs w:val="18"/>
              </w:rPr>
              <w:t>8</w:t>
            </w:r>
          </w:p>
        </w:tc>
        <w:tc>
          <w:tcPr>
            <w:tcW w:w="820" w:type="dxa"/>
            <w:tcBorders>
              <w:top w:val="single" w:sz="1" w:space="0" w:color="CCCCCC"/>
              <w:left w:val="single" w:sz="1" w:space="0" w:color="CCCCCC"/>
              <w:bottom w:val="single" w:sz="1" w:space="0" w:color="CCCCCC"/>
              <w:right w:val="single" w:sz="1" w:space="0" w:color="CCCCCC"/>
            </w:tcBorders>
            <w:shd w:val="clear" w:color="auto" w:fill="E3F0D9"/>
            <w:tcMar>
              <w:top w:w="60" w:type="dxa"/>
              <w:left w:w="100" w:type="dxa"/>
              <w:bottom w:w="60" w:type="dxa"/>
              <w:right w:w="100" w:type="dxa"/>
            </w:tcMar>
            <w:vAlign w:val="center"/>
          </w:tcPr>
          <w:p w14:paraId="7696053F" w14:textId="77777777" w:rsidR="00542C2D" w:rsidRDefault="00000000">
            <w:pPr>
              <w:jc w:val="center"/>
            </w:pPr>
            <w:r>
              <w:rPr>
                <w:color w:val="000000"/>
                <w:sz w:val="18"/>
                <w:szCs w:val="18"/>
              </w:rPr>
              <w:t>2e-5</w:t>
            </w:r>
          </w:p>
        </w:tc>
        <w:tc>
          <w:tcPr>
            <w:tcW w:w="950" w:type="dxa"/>
            <w:tcBorders>
              <w:top w:val="single" w:sz="1" w:space="0" w:color="CCCCCC"/>
              <w:left w:val="single" w:sz="1" w:space="0" w:color="CCCCCC"/>
              <w:bottom w:val="single" w:sz="1" w:space="0" w:color="CCCCCC"/>
              <w:right w:val="single" w:sz="1" w:space="0" w:color="CCCCCC"/>
            </w:tcBorders>
            <w:shd w:val="clear" w:color="auto" w:fill="E3F0D9"/>
            <w:tcMar>
              <w:top w:w="60" w:type="dxa"/>
              <w:left w:w="100" w:type="dxa"/>
              <w:bottom w:w="60" w:type="dxa"/>
              <w:right w:w="100" w:type="dxa"/>
            </w:tcMar>
            <w:vAlign w:val="center"/>
          </w:tcPr>
          <w:p w14:paraId="76960540" w14:textId="77777777" w:rsidR="00542C2D" w:rsidRDefault="00000000">
            <w:pPr>
              <w:jc w:val="center"/>
            </w:pPr>
            <w:r>
              <w:rPr>
                <w:color w:val="000000"/>
                <w:sz w:val="18"/>
                <w:szCs w:val="18"/>
              </w:rPr>
              <w:t>0.1</w:t>
            </w:r>
          </w:p>
        </w:tc>
        <w:tc>
          <w:tcPr>
            <w:tcW w:w="900" w:type="dxa"/>
            <w:tcBorders>
              <w:top w:val="single" w:sz="1" w:space="0" w:color="CCCCCC"/>
              <w:left w:val="single" w:sz="1" w:space="0" w:color="CCCCCC"/>
              <w:bottom w:val="single" w:sz="1" w:space="0" w:color="CCCCCC"/>
              <w:right w:val="single" w:sz="1" w:space="0" w:color="CCCCCC"/>
            </w:tcBorders>
            <w:shd w:val="clear" w:color="auto" w:fill="E3F0D9"/>
            <w:tcMar>
              <w:top w:w="60" w:type="dxa"/>
              <w:left w:w="100" w:type="dxa"/>
              <w:bottom w:w="60" w:type="dxa"/>
              <w:right w:w="100" w:type="dxa"/>
            </w:tcMar>
            <w:vAlign w:val="center"/>
          </w:tcPr>
          <w:p w14:paraId="76960541" w14:textId="77777777" w:rsidR="00542C2D" w:rsidRDefault="00000000">
            <w:pPr>
              <w:jc w:val="center"/>
            </w:pPr>
            <w:r>
              <w:rPr>
                <w:color w:val="000000"/>
                <w:sz w:val="18"/>
                <w:szCs w:val="18"/>
              </w:rPr>
              <w:t>0.9174</w:t>
            </w:r>
          </w:p>
        </w:tc>
        <w:tc>
          <w:tcPr>
            <w:tcW w:w="920" w:type="dxa"/>
            <w:tcBorders>
              <w:top w:val="single" w:sz="1" w:space="0" w:color="CCCCCC"/>
              <w:left w:val="single" w:sz="1" w:space="0" w:color="CCCCCC"/>
              <w:bottom w:val="single" w:sz="1" w:space="0" w:color="CCCCCC"/>
              <w:right w:val="single" w:sz="1" w:space="0" w:color="CCCCCC"/>
            </w:tcBorders>
            <w:shd w:val="clear" w:color="auto" w:fill="E3F0D9"/>
            <w:tcMar>
              <w:top w:w="60" w:type="dxa"/>
              <w:left w:w="100" w:type="dxa"/>
              <w:bottom w:w="60" w:type="dxa"/>
              <w:right w:w="100" w:type="dxa"/>
            </w:tcMar>
            <w:vAlign w:val="center"/>
          </w:tcPr>
          <w:p w14:paraId="76960542" w14:textId="77777777" w:rsidR="00542C2D" w:rsidRDefault="00000000">
            <w:pPr>
              <w:jc w:val="center"/>
            </w:pPr>
            <w:r>
              <w:rPr>
                <w:color w:val="000000"/>
                <w:sz w:val="18"/>
                <w:szCs w:val="18"/>
              </w:rPr>
              <w:t>0.9223</w:t>
            </w:r>
          </w:p>
        </w:tc>
        <w:tc>
          <w:tcPr>
            <w:tcW w:w="920" w:type="dxa"/>
            <w:tcBorders>
              <w:top w:val="single" w:sz="1" w:space="0" w:color="CCCCCC"/>
              <w:left w:val="single" w:sz="1" w:space="0" w:color="CCCCCC"/>
              <w:bottom w:val="single" w:sz="1" w:space="0" w:color="CCCCCC"/>
              <w:right w:val="single" w:sz="1" w:space="0" w:color="CCCCCC"/>
            </w:tcBorders>
            <w:shd w:val="clear" w:color="auto" w:fill="E3F0D9"/>
            <w:tcMar>
              <w:top w:w="60" w:type="dxa"/>
              <w:left w:w="100" w:type="dxa"/>
              <w:bottom w:w="60" w:type="dxa"/>
              <w:right w:w="100" w:type="dxa"/>
            </w:tcMar>
            <w:vAlign w:val="center"/>
          </w:tcPr>
          <w:p w14:paraId="76960543" w14:textId="77777777" w:rsidR="00542C2D" w:rsidRDefault="00000000">
            <w:pPr>
              <w:jc w:val="center"/>
            </w:pPr>
            <w:r>
              <w:rPr>
                <w:color w:val="000000"/>
                <w:sz w:val="18"/>
                <w:szCs w:val="18"/>
              </w:rPr>
              <w:t>0.9223</w:t>
            </w:r>
          </w:p>
        </w:tc>
        <w:tc>
          <w:tcPr>
            <w:tcW w:w="1020" w:type="dxa"/>
            <w:tcBorders>
              <w:top w:val="single" w:sz="1" w:space="0" w:color="CCCCCC"/>
              <w:left w:val="single" w:sz="1" w:space="0" w:color="CCCCCC"/>
              <w:bottom w:val="single" w:sz="1" w:space="0" w:color="CCCCCC"/>
              <w:right w:val="single" w:sz="1" w:space="0" w:color="CCCCCC"/>
            </w:tcBorders>
            <w:shd w:val="clear" w:color="auto" w:fill="E3F0D9"/>
            <w:tcMar>
              <w:top w:w="60" w:type="dxa"/>
              <w:left w:w="100" w:type="dxa"/>
              <w:bottom w:w="60" w:type="dxa"/>
              <w:right w:w="100" w:type="dxa"/>
            </w:tcMar>
            <w:vAlign w:val="center"/>
          </w:tcPr>
          <w:p w14:paraId="76960544" w14:textId="77777777" w:rsidR="00542C2D" w:rsidRDefault="00000000">
            <w:pPr>
              <w:jc w:val="center"/>
            </w:pPr>
            <w:r>
              <w:rPr>
                <w:color w:val="000000"/>
                <w:sz w:val="18"/>
                <w:szCs w:val="18"/>
              </w:rPr>
              <w:t>0.392</w:t>
            </w:r>
          </w:p>
        </w:tc>
      </w:tr>
      <w:tr w:rsidR="00542C2D" w14:paraId="7696054F" w14:textId="77777777">
        <w:tblPrEx>
          <w:tblCellMar>
            <w:top w:w="0" w:type="dxa"/>
            <w:bottom w:w="0" w:type="dxa"/>
          </w:tblCellMar>
        </w:tblPrEx>
        <w:tc>
          <w:tcPr>
            <w:tcW w:w="2350" w:type="dxa"/>
            <w:tcBorders>
              <w:top w:val="single" w:sz="1" w:space="0" w:color="CCCCCC"/>
              <w:left w:val="single" w:sz="1" w:space="0" w:color="CCCCCC"/>
              <w:bottom w:val="single" w:sz="1" w:space="0" w:color="CCCCCC"/>
              <w:right w:val="single" w:sz="1" w:space="0" w:color="CCCCCC"/>
            </w:tcBorders>
            <w:shd w:val="clear" w:color="auto" w:fill="EFF4F9"/>
            <w:tcMar>
              <w:top w:w="60" w:type="dxa"/>
              <w:left w:w="100" w:type="dxa"/>
              <w:bottom w:w="60" w:type="dxa"/>
              <w:right w:w="100" w:type="dxa"/>
            </w:tcMar>
            <w:vAlign w:val="center"/>
          </w:tcPr>
          <w:p w14:paraId="76960546" w14:textId="77777777" w:rsidR="00542C2D" w:rsidRDefault="00000000">
            <w:r>
              <w:rPr>
                <w:b/>
                <w:bCs/>
                <w:color w:val="000000"/>
                <w:sz w:val="18"/>
                <w:szCs w:val="18"/>
              </w:rPr>
              <w:t>M_lgbatch_hi-lr_512</w:t>
            </w:r>
          </w:p>
        </w:tc>
        <w:tc>
          <w:tcPr>
            <w:tcW w:w="860" w:type="dxa"/>
            <w:tcBorders>
              <w:top w:val="single" w:sz="1" w:space="0" w:color="CCCCCC"/>
              <w:left w:val="single" w:sz="1" w:space="0" w:color="CCCCCC"/>
              <w:bottom w:val="single" w:sz="1" w:space="0" w:color="CCCCCC"/>
              <w:right w:val="single" w:sz="1" w:space="0" w:color="CCCCCC"/>
            </w:tcBorders>
            <w:shd w:val="clear" w:color="auto" w:fill="EFF4F9"/>
            <w:tcMar>
              <w:top w:w="60" w:type="dxa"/>
              <w:left w:w="100" w:type="dxa"/>
              <w:bottom w:w="60" w:type="dxa"/>
              <w:right w:w="100" w:type="dxa"/>
            </w:tcMar>
            <w:vAlign w:val="center"/>
          </w:tcPr>
          <w:p w14:paraId="76960547" w14:textId="77777777" w:rsidR="00542C2D" w:rsidRDefault="00000000">
            <w:pPr>
              <w:jc w:val="center"/>
            </w:pPr>
            <w:r>
              <w:rPr>
                <w:color w:val="000000"/>
                <w:sz w:val="18"/>
                <w:szCs w:val="18"/>
              </w:rPr>
              <w:t>512</w:t>
            </w:r>
          </w:p>
        </w:tc>
        <w:tc>
          <w:tcPr>
            <w:tcW w:w="1020" w:type="dxa"/>
            <w:tcBorders>
              <w:top w:val="single" w:sz="1" w:space="0" w:color="CCCCCC"/>
              <w:left w:val="single" w:sz="1" w:space="0" w:color="CCCCCC"/>
              <w:bottom w:val="single" w:sz="1" w:space="0" w:color="CCCCCC"/>
              <w:right w:val="single" w:sz="1" w:space="0" w:color="CCCCCC"/>
            </w:tcBorders>
            <w:shd w:val="clear" w:color="auto" w:fill="EFF4F9"/>
            <w:tcMar>
              <w:top w:w="60" w:type="dxa"/>
              <w:left w:w="100" w:type="dxa"/>
              <w:bottom w:w="60" w:type="dxa"/>
              <w:right w:w="100" w:type="dxa"/>
            </w:tcMar>
            <w:vAlign w:val="center"/>
          </w:tcPr>
          <w:p w14:paraId="76960548" w14:textId="77777777" w:rsidR="00542C2D" w:rsidRDefault="00000000">
            <w:pPr>
              <w:jc w:val="center"/>
            </w:pPr>
            <w:r>
              <w:rPr>
                <w:color w:val="000000"/>
                <w:sz w:val="18"/>
                <w:szCs w:val="18"/>
              </w:rPr>
              <w:t>32</w:t>
            </w:r>
          </w:p>
        </w:tc>
        <w:tc>
          <w:tcPr>
            <w:tcW w:w="820" w:type="dxa"/>
            <w:tcBorders>
              <w:top w:val="single" w:sz="1" w:space="0" w:color="CCCCCC"/>
              <w:left w:val="single" w:sz="1" w:space="0" w:color="CCCCCC"/>
              <w:bottom w:val="single" w:sz="1" w:space="0" w:color="CCCCCC"/>
              <w:right w:val="single" w:sz="1" w:space="0" w:color="CCCCCC"/>
            </w:tcBorders>
            <w:shd w:val="clear" w:color="auto" w:fill="EFF4F9"/>
            <w:tcMar>
              <w:top w:w="60" w:type="dxa"/>
              <w:left w:w="100" w:type="dxa"/>
              <w:bottom w:w="60" w:type="dxa"/>
              <w:right w:w="100" w:type="dxa"/>
            </w:tcMar>
            <w:vAlign w:val="center"/>
          </w:tcPr>
          <w:p w14:paraId="76960549" w14:textId="77777777" w:rsidR="00542C2D" w:rsidRDefault="00000000">
            <w:pPr>
              <w:jc w:val="center"/>
            </w:pPr>
            <w:r>
              <w:rPr>
                <w:color w:val="000000"/>
                <w:sz w:val="18"/>
                <w:szCs w:val="18"/>
              </w:rPr>
              <w:t>3e-5</w:t>
            </w:r>
          </w:p>
        </w:tc>
        <w:tc>
          <w:tcPr>
            <w:tcW w:w="950" w:type="dxa"/>
            <w:tcBorders>
              <w:top w:val="single" w:sz="1" w:space="0" w:color="CCCCCC"/>
              <w:left w:val="single" w:sz="1" w:space="0" w:color="CCCCCC"/>
              <w:bottom w:val="single" w:sz="1" w:space="0" w:color="CCCCCC"/>
              <w:right w:val="single" w:sz="1" w:space="0" w:color="CCCCCC"/>
            </w:tcBorders>
            <w:shd w:val="clear" w:color="auto" w:fill="EFF4F9"/>
            <w:tcMar>
              <w:top w:w="60" w:type="dxa"/>
              <w:left w:w="100" w:type="dxa"/>
              <w:bottom w:w="60" w:type="dxa"/>
              <w:right w:w="100" w:type="dxa"/>
            </w:tcMar>
            <w:vAlign w:val="center"/>
          </w:tcPr>
          <w:p w14:paraId="7696054A" w14:textId="77777777" w:rsidR="00542C2D" w:rsidRDefault="00000000">
            <w:pPr>
              <w:jc w:val="center"/>
            </w:pPr>
            <w:r>
              <w:rPr>
                <w:color w:val="000000"/>
                <w:sz w:val="18"/>
                <w:szCs w:val="18"/>
              </w:rPr>
              <w:t>0.0</w:t>
            </w:r>
          </w:p>
        </w:tc>
        <w:tc>
          <w:tcPr>
            <w:tcW w:w="900" w:type="dxa"/>
            <w:tcBorders>
              <w:top w:val="single" w:sz="1" w:space="0" w:color="CCCCCC"/>
              <w:left w:val="single" w:sz="1" w:space="0" w:color="CCCCCC"/>
              <w:bottom w:val="single" w:sz="1" w:space="0" w:color="CCCCCC"/>
              <w:right w:val="single" w:sz="1" w:space="0" w:color="CCCCCC"/>
            </w:tcBorders>
            <w:shd w:val="clear" w:color="auto" w:fill="EFF4F9"/>
            <w:tcMar>
              <w:top w:w="60" w:type="dxa"/>
              <w:left w:w="100" w:type="dxa"/>
              <w:bottom w:w="60" w:type="dxa"/>
              <w:right w:w="100" w:type="dxa"/>
            </w:tcMar>
            <w:vAlign w:val="center"/>
          </w:tcPr>
          <w:p w14:paraId="7696054B" w14:textId="77777777" w:rsidR="00542C2D" w:rsidRDefault="00000000">
            <w:pPr>
              <w:jc w:val="center"/>
            </w:pPr>
            <w:r>
              <w:rPr>
                <w:color w:val="000000"/>
                <w:sz w:val="18"/>
                <w:szCs w:val="18"/>
              </w:rPr>
              <w:t>0.9208</w:t>
            </w:r>
          </w:p>
        </w:tc>
        <w:tc>
          <w:tcPr>
            <w:tcW w:w="920" w:type="dxa"/>
            <w:tcBorders>
              <w:top w:val="single" w:sz="1" w:space="0" w:color="CCCCCC"/>
              <w:left w:val="single" w:sz="1" w:space="0" w:color="CCCCCC"/>
              <w:bottom w:val="single" w:sz="1" w:space="0" w:color="CCCCCC"/>
              <w:right w:val="single" w:sz="1" w:space="0" w:color="CCCCCC"/>
            </w:tcBorders>
            <w:shd w:val="clear" w:color="auto" w:fill="EFF4F9"/>
            <w:tcMar>
              <w:top w:w="60" w:type="dxa"/>
              <w:left w:w="100" w:type="dxa"/>
              <w:bottom w:w="60" w:type="dxa"/>
              <w:right w:w="100" w:type="dxa"/>
            </w:tcMar>
            <w:vAlign w:val="center"/>
          </w:tcPr>
          <w:p w14:paraId="7696054C" w14:textId="77777777" w:rsidR="00542C2D" w:rsidRDefault="00000000">
            <w:pPr>
              <w:jc w:val="center"/>
            </w:pPr>
            <w:r>
              <w:rPr>
                <w:color w:val="000000"/>
                <w:sz w:val="18"/>
                <w:szCs w:val="18"/>
              </w:rPr>
              <w:t>0.9205</w:t>
            </w:r>
          </w:p>
        </w:tc>
        <w:tc>
          <w:tcPr>
            <w:tcW w:w="920" w:type="dxa"/>
            <w:tcBorders>
              <w:top w:val="single" w:sz="1" w:space="0" w:color="CCCCCC"/>
              <w:left w:val="single" w:sz="1" w:space="0" w:color="CCCCCC"/>
              <w:bottom w:val="single" w:sz="1" w:space="0" w:color="CCCCCC"/>
              <w:right w:val="single" w:sz="1" w:space="0" w:color="CCCCCC"/>
            </w:tcBorders>
            <w:shd w:val="clear" w:color="auto" w:fill="EFF4F9"/>
            <w:tcMar>
              <w:top w:w="60" w:type="dxa"/>
              <w:left w:w="100" w:type="dxa"/>
              <w:bottom w:w="60" w:type="dxa"/>
              <w:right w:w="100" w:type="dxa"/>
            </w:tcMar>
            <w:vAlign w:val="center"/>
          </w:tcPr>
          <w:p w14:paraId="7696054D" w14:textId="77777777" w:rsidR="00542C2D" w:rsidRDefault="00000000">
            <w:pPr>
              <w:jc w:val="center"/>
            </w:pPr>
            <w:r>
              <w:rPr>
                <w:color w:val="000000"/>
                <w:sz w:val="18"/>
                <w:szCs w:val="18"/>
              </w:rPr>
              <w:t>0.9206</w:t>
            </w:r>
          </w:p>
        </w:tc>
        <w:tc>
          <w:tcPr>
            <w:tcW w:w="1020" w:type="dxa"/>
            <w:tcBorders>
              <w:top w:val="single" w:sz="1" w:space="0" w:color="CCCCCC"/>
              <w:left w:val="single" w:sz="1" w:space="0" w:color="CCCCCC"/>
              <w:bottom w:val="single" w:sz="1" w:space="0" w:color="CCCCCC"/>
              <w:right w:val="single" w:sz="1" w:space="0" w:color="CCCCCC"/>
            </w:tcBorders>
            <w:shd w:val="clear" w:color="auto" w:fill="EFF4F9"/>
            <w:tcMar>
              <w:top w:w="60" w:type="dxa"/>
              <w:left w:w="100" w:type="dxa"/>
              <w:bottom w:w="60" w:type="dxa"/>
              <w:right w:w="100" w:type="dxa"/>
            </w:tcMar>
            <w:vAlign w:val="center"/>
          </w:tcPr>
          <w:p w14:paraId="7696054E" w14:textId="77777777" w:rsidR="00542C2D" w:rsidRDefault="00000000">
            <w:pPr>
              <w:jc w:val="center"/>
            </w:pPr>
            <w:r>
              <w:rPr>
                <w:color w:val="000000"/>
                <w:sz w:val="18"/>
                <w:szCs w:val="18"/>
              </w:rPr>
              <w:t>0.266</w:t>
            </w:r>
          </w:p>
        </w:tc>
      </w:tr>
      <w:tr w:rsidR="00542C2D" w14:paraId="76960559" w14:textId="77777777">
        <w:tblPrEx>
          <w:tblCellMar>
            <w:top w:w="0" w:type="dxa"/>
            <w:bottom w:w="0" w:type="dxa"/>
          </w:tblCellMar>
        </w:tblPrEx>
        <w:tc>
          <w:tcPr>
            <w:tcW w:w="23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6960550" w14:textId="77777777" w:rsidR="00542C2D" w:rsidRDefault="00000000">
            <w:r>
              <w:rPr>
                <w:b/>
                <w:bCs/>
                <w:color w:val="000000"/>
                <w:sz w:val="18"/>
                <w:szCs w:val="18"/>
              </w:rPr>
              <w:t>M_warmup_512</w:t>
            </w:r>
          </w:p>
        </w:tc>
        <w:tc>
          <w:tcPr>
            <w:tcW w:w="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6960551" w14:textId="77777777" w:rsidR="00542C2D" w:rsidRDefault="00000000">
            <w:pPr>
              <w:jc w:val="center"/>
            </w:pPr>
            <w:r>
              <w:rPr>
                <w:color w:val="000000"/>
                <w:sz w:val="18"/>
                <w:szCs w:val="18"/>
              </w:rPr>
              <w:t>512</w:t>
            </w:r>
          </w:p>
        </w:tc>
        <w:tc>
          <w:tcPr>
            <w:tcW w:w="10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6960552" w14:textId="77777777" w:rsidR="00542C2D" w:rsidRDefault="00000000">
            <w:pPr>
              <w:jc w:val="center"/>
            </w:pPr>
            <w:r>
              <w:rPr>
                <w:color w:val="000000"/>
                <w:sz w:val="18"/>
                <w:szCs w:val="18"/>
              </w:rPr>
              <w:t>32</w:t>
            </w:r>
          </w:p>
        </w:tc>
        <w:tc>
          <w:tcPr>
            <w:tcW w:w="8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6960553" w14:textId="77777777" w:rsidR="00542C2D" w:rsidRDefault="00000000">
            <w:pPr>
              <w:jc w:val="center"/>
            </w:pPr>
            <w:r>
              <w:rPr>
                <w:color w:val="000000"/>
                <w:sz w:val="18"/>
                <w:szCs w:val="18"/>
              </w:rPr>
              <w:t>3e-5</w:t>
            </w:r>
          </w:p>
        </w:tc>
        <w:tc>
          <w:tcPr>
            <w:tcW w:w="9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6960554" w14:textId="77777777" w:rsidR="00542C2D" w:rsidRDefault="00000000">
            <w:pPr>
              <w:jc w:val="center"/>
            </w:pPr>
            <w:r>
              <w:rPr>
                <w:color w:val="000000"/>
                <w:sz w:val="18"/>
                <w:szCs w:val="18"/>
              </w:rPr>
              <w:t>0.1</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6960555" w14:textId="77777777" w:rsidR="00542C2D" w:rsidRDefault="00000000">
            <w:pPr>
              <w:jc w:val="center"/>
            </w:pPr>
            <w:r>
              <w:rPr>
                <w:color w:val="000000"/>
                <w:sz w:val="18"/>
                <w:szCs w:val="18"/>
              </w:rPr>
              <w:t>0.9216</w:t>
            </w:r>
          </w:p>
        </w:tc>
        <w:tc>
          <w:tcPr>
            <w:tcW w:w="9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6960556" w14:textId="77777777" w:rsidR="00542C2D" w:rsidRDefault="00000000">
            <w:pPr>
              <w:jc w:val="center"/>
            </w:pPr>
            <w:r>
              <w:rPr>
                <w:color w:val="000000"/>
                <w:sz w:val="18"/>
                <w:szCs w:val="18"/>
              </w:rPr>
              <w:t>0.9195</w:t>
            </w:r>
          </w:p>
        </w:tc>
        <w:tc>
          <w:tcPr>
            <w:tcW w:w="9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6960557" w14:textId="77777777" w:rsidR="00542C2D" w:rsidRDefault="00000000">
            <w:pPr>
              <w:jc w:val="center"/>
            </w:pPr>
            <w:r>
              <w:rPr>
                <w:color w:val="000000"/>
                <w:sz w:val="18"/>
                <w:szCs w:val="18"/>
              </w:rPr>
              <w:t>0.9195</w:t>
            </w:r>
          </w:p>
        </w:tc>
        <w:tc>
          <w:tcPr>
            <w:tcW w:w="10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6960558" w14:textId="77777777" w:rsidR="00542C2D" w:rsidRDefault="00000000">
            <w:pPr>
              <w:jc w:val="center"/>
            </w:pPr>
            <w:r>
              <w:rPr>
                <w:color w:val="000000"/>
                <w:sz w:val="18"/>
                <w:szCs w:val="18"/>
              </w:rPr>
              <w:t>0.259</w:t>
            </w:r>
          </w:p>
        </w:tc>
      </w:tr>
    </w:tbl>
    <w:p w14:paraId="7696055A" w14:textId="77777777" w:rsidR="00542C2D" w:rsidRDefault="00542C2D">
      <w:pPr>
        <w:spacing w:after="180"/>
      </w:pPr>
    </w:p>
    <w:p w14:paraId="7696055B" w14:textId="77777777" w:rsidR="00542C2D" w:rsidRDefault="00000000">
      <w:pPr>
        <w:spacing w:before="120" w:after="80"/>
        <w:jc w:val="center"/>
      </w:pPr>
      <w:r>
        <w:rPr>
          <w:noProof/>
        </w:rPr>
        <w:drawing>
          <wp:inline distT="0" distB="0" distL="0" distR="0" wp14:anchorId="769605AA" wp14:editId="769605AB">
            <wp:extent cx="5143500" cy="2571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143500" cy="2571750"/>
                    </a:xfrm>
                    <a:prstGeom prst="rect">
                      <a:avLst/>
                    </a:prstGeom>
                  </pic:spPr>
                </pic:pic>
              </a:graphicData>
            </a:graphic>
          </wp:inline>
        </w:drawing>
      </w:r>
    </w:p>
    <w:p w14:paraId="7696055C" w14:textId="77777777" w:rsidR="00542C2D" w:rsidRDefault="00000000">
      <w:pPr>
        <w:spacing w:after="220"/>
        <w:jc w:val="center"/>
      </w:pPr>
      <w:r>
        <w:rPr>
          <w:i/>
          <w:iCs/>
          <w:color w:val="666666"/>
          <w:sz w:val="17"/>
          <w:szCs w:val="17"/>
        </w:rPr>
        <w:t>Figure 1. Test F1 by model. The 512-token models (orange/green) all sit above the 256-token baseline (grey); O is the best.</w:t>
      </w:r>
    </w:p>
    <w:p w14:paraId="7696055D" w14:textId="77777777" w:rsidR="00542C2D" w:rsidRDefault="00000000">
      <w:pPr>
        <w:pStyle w:val="Heading1"/>
      </w:pPr>
      <w:r>
        <w:t>1. Why we focus on F1</w:t>
      </w:r>
    </w:p>
    <w:p w14:paraId="7696055E" w14:textId="77777777" w:rsidR="00542C2D" w:rsidRDefault="00000000">
      <w:pPr>
        <w:spacing w:after="140" w:line="276" w:lineRule="auto"/>
      </w:pPr>
      <w:r>
        <w:t>The dataset is imbalanced, with class sizes ranging from anxiety (17,620) down to suicidal (11,046). Under imbalance, plain accuracy is misleading: a model can report a high accuracy by classifying the large classes well while quietly failing the small ones, and that failure is hidden inside the accuracy figure. F1 is the harmonic mean of precision and recall, so it stays high only when the model is both not over-predicting a class (precision) and not missing it (recall); a model that sacrifices one for the other is penalised. We use the weighted F1, which averages each class's F1 by its support so that every class contributes fairly.</w:t>
      </w:r>
    </w:p>
    <w:p w14:paraId="7696055F" w14:textId="77777777" w:rsidR="00542C2D" w:rsidRDefault="00000000">
      <w:pPr>
        <w:spacing w:after="140" w:line="276" w:lineRule="auto"/>
      </w:pPr>
      <w:r>
        <w:lastRenderedPageBreak/>
        <w:t>This is particularly important in a mental-health setting, where the two error types carry very different costs — failing to flag a genuinely suicidal post (a false negative) is far more serious than a false alarm — so a precision/recall-aware measure is more appropriate than raw accuracy. Accuracy and weighted F1 happen to coincide almost exactly here, which is reassuring, but F1 remains the more defensible headline metric.</w:t>
      </w:r>
    </w:p>
    <w:p w14:paraId="76960560" w14:textId="77777777" w:rsidR="00542C2D" w:rsidRDefault="00000000">
      <w:pPr>
        <w:pStyle w:val="Heading1"/>
      </w:pPr>
      <w:r>
        <w:t>2. Longer maximum sequence length</w:t>
      </w:r>
    </w:p>
    <w:p w14:paraId="76960561" w14:textId="77777777" w:rsidR="00542C2D" w:rsidRDefault="00000000">
      <w:pPr>
        <w:spacing w:after="140" w:line="276" w:lineRule="auto"/>
      </w:pPr>
      <w:r>
        <w:t>Increasing the maximum sequence length from 256 to 512 tokens is the clearest and most reliable improvement in the study: Model A (256) rises from a test F1 of 0.9182 to Model F (512) at 0.9208. The mechanism is concrete and measurable rather than speculative — truncation falls from 8.2% of training texts at 256 tokens to only 2.3% at 512. Longer inputs retain discriminative signal that the shorter cap discarded.</w:t>
      </w:r>
    </w:p>
    <w:p w14:paraId="76960562" w14:textId="77777777" w:rsidR="00542C2D" w:rsidRDefault="00000000">
      <w:pPr>
        <w:spacing w:after="140" w:line="276" w:lineRule="auto"/>
      </w:pPr>
      <w:r>
        <w:rPr>
          <w:b/>
          <w:bCs/>
        </w:rPr>
        <w:t xml:space="preserve">The gain appears precisely where expected — in the hard classes. </w:t>
      </w:r>
      <w:r>
        <w:t>As Table 2 shows, depression rises 0.798 → 0.805 and suicidal 0.755 → 0.767, whereas the easy classes (anxiety, bipolar, personality disorder) barely move because they were already near-saturated. Depression and suicidal posts tend to be longer, more narrative texts, so they are the categories most damaged by a 256-token cut and most helped by extending to 512. The trade-off is compute: 512 tokens roughly doubled training time (≈54 to ≈72 minutes) for about 0.26 F1 points.</w:t>
      </w:r>
    </w:p>
    <w:p w14:paraId="76960563" w14:textId="77777777" w:rsidR="00542C2D" w:rsidRDefault="00000000">
      <w:pPr>
        <w:spacing w:after="140" w:line="276" w:lineRule="auto"/>
      </w:pPr>
      <w:r>
        <w:rPr>
          <w:b/>
          <w:bCs/>
        </w:rPr>
        <w:t>Table 2.</w:t>
      </w:r>
      <w:r>
        <w:t xml:space="preserve"> Per-class F1 for the two bottleneck classes across all models.</w:t>
      </w:r>
    </w:p>
    <w:tbl>
      <w:tblPr>
        <w:tblW w:w="6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67"/>
        <w:gridCol w:w="1985"/>
        <w:gridCol w:w="2126"/>
      </w:tblGrid>
      <w:tr w:rsidR="00542C2D" w14:paraId="76960567" w14:textId="77777777" w:rsidTr="009C2A35">
        <w:tblPrEx>
          <w:tblCellMar>
            <w:top w:w="0" w:type="dxa"/>
            <w:bottom w:w="0" w:type="dxa"/>
          </w:tblCellMar>
        </w:tblPrEx>
        <w:trPr>
          <w:tblHeader/>
        </w:trPr>
        <w:tc>
          <w:tcPr>
            <w:tcW w:w="2267" w:type="dxa"/>
            <w:tcBorders>
              <w:top w:val="single" w:sz="1" w:space="0" w:color="CCCCCC"/>
              <w:left w:val="single" w:sz="1" w:space="0" w:color="CCCCCC"/>
              <w:bottom w:val="single" w:sz="1" w:space="0" w:color="CCCCCC"/>
              <w:right w:val="single" w:sz="1" w:space="0" w:color="CCCCCC"/>
            </w:tcBorders>
            <w:shd w:val="clear" w:color="auto" w:fill="2E6DA4"/>
            <w:tcMar>
              <w:top w:w="60" w:type="dxa"/>
              <w:left w:w="100" w:type="dxa"/>
              <w:bottom w:w="60" w:type="dxa"/>
              <w:right w:w="100" w:type="dxa"/>
            </w:tcMar>
            <w:vAlign w:val="center"/>
          </w:tcPr>
          <w:p w14:paraId="76960564" w14:textId="77777777" w:rsidR="00542C2D" w:rsidRDefault="00000000">
            <w:r>
              <w:rPr>
                <w:b/>
                <w:bCs/>
                <w:color w:val="FFFFFF"/>
                <w:sz w:val="18"/>
                <w:szCs w:val="18"/>
              </w:rPr>
              <w:t>Model</w:t>
            </w:r>
          </w:p>
        </w:tc>
        <w:tc>
          <w:tcPr>
            <w:tcW w:w="1985" w:type="dxa"/>
            <w:tcBorders>
              <w:top w:val="single" w:sz="1" w:space="0" w:color="CCCCCC"/>
              <w:left w:val="single" w:sz="1" w:space="0" w:color="CCCCCC"/>
              <w:bottom w:val="single" w:sz="1" w:space="0" w:color="CCCCCC"/>
              <w:right w:val="single" w:sz="1" w:space="0" w:color="CCCCCC"/>
            </w:tcBorders>
            <w:shd w:val="clear" w:color="auto" w:fill="2E6DA4"/>
            <w:tcMar>
              <w:top w:w="60" w:type="dxa"/>
              <w:left w:w="100" w:type="dxa"/>
              <w:bottom w:w="60" w:type="dxa"/>
              <w:right w:w="100" w:type="dxa"/>
            </w:tcMar>
            <w:vAlign w:val="center"/>
          </w:tcPr>
          <w:p w14:paraId="76960565" w14:textId="77777777" w:rsidR="00542C2D" w:rsidRDefault="00000000">
            <w:pPr>
              <w:jc w:val="center"/>
            </w:pPr>
            <w:r>
              <w:rPr>
                <w:b/>
                <w:bCs/>
                <w:color w:val="FFFFFF"/>
                <w:sz w:val="18"/>
                <w:szCs w:val="18"/>
              </w:rPr>
              <w:t>depression F1</w:t>
            </w:r>
          </w:p>
        </w:tc>
        <w:tc>
          <w:tcPr>
            <w:tcW w:w="2126" w:type="dxa"/>
            <w:tcBorders>
              <w:top w:val="single" w:sz="1" w:space="0" w:color="CCCCCC"/>
              <w:left w:val="single" w:sz="1" w:space="0" w:color="CCCCCC"/>
              <w:bottom w:val="single" w:sz="1" w:space="0" w:color="CCCCCC"/>
              <w:right w:val="single" w:sz="1" w:space="0" w:color="CCCCCC"/>
            </w:tcBorders>
            <w:shd w:val="clear" w:color="auto" w:fill="2E6DA4"/>
            <w:tcMar>
              <w:top w:w="60" w:type="dxa"/>
              <w:left w:w="100" w:type="dxa"/>
              <w:bottom w:w="60" w:type="dxa"/>
              <w:right w:w="100" w:type="dxa"/>
            </w:tcMar>
            <w:vAlign w:val="center"/>
          </w:tcPr>
          <w:p w14:paraId="76960566" w14:textId="77777777" w:rsidR="00542C2D" w:rsidRDefault="00000000">
            <w:pPr>
              <w:jc w:val="center"/>
            </w:pPr>
            <w:r>
              <w:rPr>
                <w:b/>
                <w:bCs/>
                <w:color w:val="FFFFFF"/>
                <w:sz w:val="18"/>
                <w:szCs w:val="18"/>
              </w:rPr>
              <w:t>suicidal F1</w:t>
            </w:r>
          </w:p>
        </w:tc>
      </w:tr>
      <w:tr w:rsidR="00542C2D" w14:paraId="7696056B" w14:textId="77777777" w:rsidTr="009C2A35">
        <w:tblPrEx>
          <w:tblCellMar>
            <w:top w:w="0" w:type="dxa"/>
            <w:bottom w:w="0" w:type="dxa"/>
          </w:tblCellMar>
        </w:tblPrEx>
        <w:tc>
          <w:tcPr>
            <w:tcW w:w="2267" w:type="dxa"/>
            <w:tcBorders>
              <w:top w:val="single" w:sz="1" w:space="0" w:color="CCCCCC"/>
              <w:left w:val="single" w:sz="1" w:space="0" w:color="CCCCCC"/>
              <w:bottom w:val="single" w:sz="1" w:space="0" w:color="CCCCCC"/>
              <w:right w:val="single" w:sz="1" w:space="0" w:color="CCCCCC"/>
            </w:tcBorders>
            <w:shd w:val="clear" w:color="auto" w:fill="FBE9E7"/>
            <w:tcMar>
              <w:top w:w="60" w:type="dxa"/>
              <w:left w:w="100" w:type="dxa"/>
              <w:bottom w:w="60" w:type="dxa"/>
              <w:right w:w="100" w:type="dxa"/>
            </w:tcMar>
            <w:vAlign w:val="center"/>
          </w:tcPr>
          <w:p w14:paraId="76960568" w14:textId="77777777" w:rsidR="00542C2D" w:rsidRDefault="00000000">
            <w:proofErr w:type="spellStart"/>
            <w:r>
              <w:rPr>
                <w:b/>
                <w:bCs/>
                <w:color w:val="000000"/>
                <w:sz w:val="18"/>
                <w:szCs w:val="18"/>
              </w:rPr>
              <w:t>A_baseline</w:t>
            </w:r>
            <w:proofErr w:type="spellEnd"/>
          </w:p>
        </w:tc>
        <w:tc>
          <w:tcPr>
            <w:tcW w:w="1985" w:type="dxa"/>
            <w:tcBorders>
              <w:top w:val="single" w:sz="1" w:space="0" w:color="CCCCCC"/>
              <w:left w:val="single" w:sz="1" w:space="0" w:color="CCCCCC"/>
              <w:bottom w:val="single" w:sz="1" w:space="0" w:color="CCCCCC"/>
              <w:right w:val="single" w:sz="1" w:space="0" w:color="CCCCCC"/>
            </w:tcBorders>
            <w:shd w:val="clear" w:color="auto" w:fill="FBE9E7"/>
            <w:tcMar>
              <w:top w:w="60" w:type="dxa"/>
              <w:left w:w="100" w:type="dxa"/>
              <w:bottom w:w="60" w:type="dxa"/>
              <w:right w:w="100" w:type="dxa"/>
            </w:tcMar>
            <w:vAlign w:val="center"/>
          </w:tcPr>
          <w:p w14:paraId="76960569" w14:textId="77777777" w:rsidR="00542C2D" w:rsidRDefault="00000000">
            <w:pPr>
              <w:jc w:val="center"/>
            </w:pPr>
            <w:r>
              <w:rPr>
                <w:color w:val="000000"/>
                <w:sz w:val="18"/>
                <w:szCs w:val="18"/>
              </w:rPr>
              <w:t>0.798</w:t>
            </w:r>
          </w:p>
        </w:tc>
        <w:tc>
          <w:tcPr>
            <w:tcW w:w="2126" w:type="dxa"/>
            <w:tcBorders>
              <w:top w:val="single" w:sz="1" w:space="0" w:color="CCCCCC"/>
              <w:left w:val="single" w:sz="1" w:space="0" w:color="CCCCCC"/>
              <w:bottom w:val="single" w:sz="1" w:space="0" w:color="CCCCCC"/>
              <w:right w:val="single" w:sz="1" w:space="0" w:color="CCCCCC"/>
            </w:tcBorders>
            <w:shd w:val="clear" w:color="auto" w:fill="FBE9E7"/>
            <w:tcMar>
              <w:top w:w="60" w:type="dxa"/>
              <w:left w:w="100" w:type="dxa"/>
              <w:bottom w:w="60" w:type="dxa"/>
              <w:right w:w="100" w:type="dxa"/>
            </w:tcMar>
            <w:vAlign w:val="center"/>
          </w:tcPr>
          <w:p w14:paraId="7696056A" w14:textId="77777777" w:rsidR="00542C2D" w:rsidRDefault="00000000">
            <w:pPr>
              <w:jc w:val="center"/>
            </w:pPr>
            <w:r>
              <w:rPr>
                <w:color w:val="000000"/>
                <w:sz w:val="18"/>
                <w:szCs w:val="18"/>
              </w:rPr>
              <w:t>0.755</w:t>
            </w:r>
          </w:p>
        </w:tc>
      </w:tr>
      <w:tr w:rsidR="00542C2D" w14:paraId="7696056F" w14:textId="77777777" w:rsidTr="009C2A35">
        <w:tblPrEx>
          <w:tblCellMar>
            <w:top w:w="0" w:type="dxa"/>
            <w:bottom w:w="0" w:type="dxa"/>
          </w:tblCellMar>
        </w:tblPrEx>
        <w:tc>
          <w:tcPr>
            <w:tcW w:w="2267" w:type="dxa"/>
            <w:tcBorders>
              <w:top w:val="single" w:sz="1" w:space="0" w:color="CCCCCC"/>
              <w:left w:val="single" w:sz="1" w:space="0" w:color="CCCCCC"/>
              <w:bottom w:val="single" w:sz="1" w:space="0" w:color="CCCCCC"/>
              <w:right w:val="single" w:sz="1" w:space="0" w:color="CCCCCC"/>
            </w:tcBorders>
            <w:shd w:val="clear" w:color="auto" w:fill="FBE9E7"/>
            <w:tcMar>
              <w:top w:w="60" w:type="dxa"/>
              <w:left w:w="100" w:type="dxa"/>
              <w:bottom w:w="60" w:type="dxa"/>
              <w:right w:w="100" w:type="dxa"/>
            </w:tcMar>
            <w:vAlign w:val="center"/>
          </w:tcPr>
          <w:p w14:paraId="7696056C" w14:textId="77777777" w:rsidR="00542C2D" w:rsidRDefault="00000000">
            <w:r>
              <w:rPr>
                <w:b/>
                <w:bCs/>
                <w:color w:val="000000"/>
                <w:sz w:val="18"/>
                <w:szCs w:val="18"/>
              </w:rPr>
              <w:t>F_baseline_512</w:t>
            </w:r>
          </w:p>
        </w:tc>
        <w:tc>
          <w:tcPr>
            <w:tcW w:w="1985" w:type="dxa"/>
            <w:tcBorders>
              <w:top w:val="single" w:sz="1" w:space="0" w:color="CCCCCC"/>
              <w:left w:val="single" w:sz="1" w:space="0" w:color="CCCCCC"/>
              <w:bottom w:val="single" w:sz="1" w:space="0" w:color="CCCCCC"/>
              <w:right w:val="single" w:sz="1" w:space="0" w:color="CCCCCC"/>
            </w:tcBorders>
            <w:shd w:val="clear" w:color="auto" w:fill="FBE9E7"/>
            <w:tcMar>
              <w:top w:w="60" w:type="dxa"/>
              <w:left w:w="100" w:type="dxa"/>
              <w:bottom w:w="60" w:type="dxa"/>
              <w:right w:w="100" w:type="dxa"/>
            </w:tcMar>
            <w:vAlign w:val="center"/>
          </w:tcPr>
          <w:p w14:paraId="7696056D" w14:textId="77777777" w:rsidR="00542C2D" w:rsidRDefault="00000000">
            <w:pPr>
              <w:jc w:val="center"/>
            </w:pPr>
            <w:r>
              <w:rPr>
                <w:color w:val="000000"/>
                <w:sz w:val="18"/>
                <w:szCs w:val="18"/>
              </w:rPr>
              <w:t>0.805</w:t>
            </w:r>
          </w:p>
        </w:tc>
        <w:tc>
          <w:tcPr>
            <w:tcW w:w="2126" w:type="dxa"/>
            <w:tcBorders>
              <w:top w:val="single" w:sz="1" w:space="0" w:color="CCCCCC"/>
              <w:left w:val="single" w:sz="1" w:space="0" w:color="CCCCCC"/>
              <w:bottom w:val="single" w:sz="1" w:space="0" w:color="CCCCCC"/>
              <w:right w:val="single" w:sz="1" w:space="0" w:color="CCCCCC"/>
            </w:tcBorders>
            <w:shd w:val="clear" w:color="auto" w:fill="FBE9E7"/>
            <w:tcMar>
              <w:top w:w="60" w:type="dxa"/>
              <w:left w:w="100" w:type="dxa"/>
              <w:bottom w:w="60" w:type="dxa"/>
              <w:right w:w="100" w:type="dxa"/>
            </w:tcMar>
            <w:vAlign w:val="center"/>
          </w:tcPr>
          <w:p w14:paraId="7696056E" w14:textId="77777777" w:rsidR="00542C2D" w:rsidRDefault="00000000">
            <w:pPr>
              <w:jc w:val="center"/>
            </w:pPr>
            <w:r>
              <w:rPr>
                <w:color w:val="000000"/>
                <w:sz w:val="18"/>
                <w:szCs w:val="18"/>
              </w:rPr>
              <w:t>0.767</w:t>
            </w:r>
          </w:p>
        </w:tc>
      </w:tr>
      <w:tr w:rsidR="00542C2D" w14:paraId="76960573" w14:textId="77777777" w:rsidTr="009C2A35">
        <w:tblPrEx>
          <w:tblCellMar>
            <w:top w:w="0" w:type="dxa"/>
            <w:bottom w:w="0" w:type="dxa"/>
          </w:tblCellMar>
        </w:tblPrEx>
        <w:tc>
          <w:tcPr>
            <w:tcW w:w="2267" w:type="dxa"/>
            <w:tcBorders>
              <w:top w:val="single" w:sz="1" w:space="0" w:color="CCCCCC"/>
              <w:left w:val="single" w:sz="1" w:space="0" w:color="CCCCCC"/>
              <w:bottom w:val="single" w:sz="1" w:space="0" w:color="CCCCCC"/>
              <w:right w:val="single" w:sz="1" w:space="0" w:color="CCCCCC"/>
            </w:tcBorders>
            <w:shd w:val="clear" w:color="auto" w:fill="FBE9E7"/>
            <w:tcMar>
              <w:top w:w="60" w:type="dxa"/>
              <w:left w:w="100" w:type="dxa"/>
              <w:bottom w:w="60" w:type="dxa"/>
              <w:right w:w="100" w:type="dxa"/>
            </w:tcMar>
            <w:vAlign w:val="center"/>
          </w:tcPr>
          <w:p w14:paraId="76960570" w14:textId="77777777" w:rsidR="00542C2D" w:rsidRDefault="00000000">
            <w:r>
              <w:rPr>
                <w:b/>
                <w:bCs/>
                <w:color w:val="000000"/>
                <w:sz w:val="18"/>
                <w:szCs w:val="18"/>
              </w:rPr>
              <w:t>O_warmup_512</w:t>
            </w:r>
          </w:p>
        </w:tc>
        <w:tc>
          <w:tcPr>
            <w:tcW w:w="1985" w:type="dxa"/>
            <w:tcBorders>
              <w:top w:val="single" w:sz="1" w:space="0" w:color="CCCCCC"/>
              <w:left w:val="single" w:sz="1" w:space="0" w:color="CCCCCC"/>
              <w:bottom w:val="single" w:sz="1" w:space="0" w:color="CCCCCC"/>
              <w:right w:val="single" w:sz="1" w:space="0" w:color="CCCCCC"/>
            </w:tcBorders>
            <w:shd w:val="clear" w:color="auto" w:fill="FBE9E7"/>
            <w:tcMar>
              <w:top w:w="60" w:type="dxa"/>
              <w:left w:w="100" w:type="dxa"/>
              <w:bottom w:w="60" w:type="dxa"/>
              <w:right w:w="100" w:type="dxa"/>
            </w:tcMar>
            <w:vAlign w:val="center"/>
          </w:tcPr>
          <w:p w14:paraId="76960571" w14:textId="77777777" w:rsidR="00542C2D" w:rsidRDefault="00000000">
            <w:pPr>
              <w:jc w:val="center"/>
            </w:pPr>
            <w:r>
              <w:rPr>
                <w:color w:val="000000"/>
                <w:sz w:val="18"/>
                <w:szCs w:val="18"/>
              </w:rPr>
              <w:t>0.809</w:t>
            </w:r>
          </w:p>
        </w:tc>
        <w:tc>
          <w:tcPr>
            <w:tcW w:w="2126" w:type="dxa"/>
            <w:tcBorders>
              <w:top w:val="single" w:sz="1" w:space="0" w:color="CCCCCC"/>
              <w:left w:val="single" w:sz="1" w:space="0" w:color="CCCCCC"/>
              <w:bottom w:val="single" w:sz="1" w:space="0" w:color="CCCCCC"/>
              <w:right w:val="single" w:sz="1" w:space="0" w:color="CCCCCC"/>
            </w:tcBorders>
            <w:shd w:val="clear" w:color="auto" w:fill="FBE9E7"/>
            <w:tcMar>
              <w:top w:w="60" w:type="dxa"/>
              <w:left w:w="100" w:type="dxa"/>
              <w:bottom w:w="60" w:type="dxa"/>
              <w:right w:w="100" w:type="dxa"/>
            </w:tcMar>
            <w:vAlign w:val="center"/>
          </w:tcPr>
          <w:p w14:paraId="76960572" w14:textId="77777777" w:rsidR="00542C2D" w:rsidRDefault="00000000">
            <w:pPr>
              <w:jc w:val="center"/>
            </w:pPr>
            <w:r>
              <w:rPr>
                <w:color w:val="000000"/>
                <w:sz w:val="18"/>
                <w:szCs w:val="18"/>
              </w:rPr>
              <w:t>0.770</w:t>
            </w:r>
          </w:p>
        </w:tc>
      </w:tr>
      <w:tr w:rsidR="00542C2D" w14:paraId="76960577" w14:textId="77777777" w:rsidTr="009C2A35">
        <w:tblPrEx>
          <w:tblCellMar>
            <w:top w:w="0" w:type="dxa"/>
            <w:bottom w:w="0" w:type="dxa"/>
          </w:tblCellMar>
        </w:tblPrEx>
        <w:tc>
          <w:tcPr>
            <w:tcW w:w="2267" w:type="dxa"/>
            <w:tcBorders>
              <w:top w:val="single" w:sz="1" w:space="0" w:color="CCCCCC"/>
              <w:left w:val="single" w:sz="1" w:space="0" w:color="CCCCCC"/>
              <w:bottom w:val="single" w:sz="1" w:space="0" w:color="CCCCCC"/>
              <w:right w:val="single" w:sz="1" w:space="0" w:color="CCCCCC"/>
            </w:tcBorders>
            <w:shd w:val="clear" w:color="auto" w:fill="FBE9E7"/>
            <w:tcMar>
              <w:top w:w="60" w:type="dxa"/>
              <w:left w:w="100" w:type="dxa"/>
              <w:bottom w:w="60" w:type="dxa"/>
              <w:right w:w="100" w:type="dxa"/>
            </w:tcMar>
            <w:vAlign w:val="center"/>
          </w:tcPr>
          <w:p w14:paraId="76960574" w14:textId="77777777" w:rsidR="00542C2D" w:rsidRDefault="00000000">
            <w:r>
              <w:rPr>
                <w:b/>
                <w:bCs/>
                <w:color w:val="000000"/>
                <w:sz w:val="18"/>
                <w:szCs w:val="18"/>
              </w:rPr>
              <w:t>M_lgbatch_hi-lr_512</w:t>
            </w:r>
          </w:p>
        </w:tc>
        <w:tc>
          <w:tcPr>
            <w:tcW w:w="1985" w:type="dxa"/>
            <w:tcBorders>
              <w:top w:val="single" w:sz="1" w:space="0" w:color="CCCCCC"/>
              <w:left w:val="single" w:sz="1" w:space="0" w:color="CCCCCC"/>
              <w:bottom w:val="single" w:sz="1" w:space="0" w:color="CCCCCC"/>
              <w:right w:val="single" w:sz="1" w:space="0" w:color="CCCCCC"/>
            </w:tcBorders>
            <w:shd w:val="clear" w:color="auto" w:fill="FBE9E7"/>
            <w:tcMar>
              <w:top w:w="60" w:type="dxa"/>
              <w:left w:w="100" w:type="dxa"/>
              <w:bottom w:w="60" w:type="dxa"/>
              <w:right w:w="100" w:type="dxa"/>
            </w:tcMar>
            <w:vAlign w:val="center"/>
          </w:tcPr>
          <w:p w14:paraId="76960575" w14:textId="77777777" w:rsidR="00542C2D" w:rsidRDefault="00000000">
            <w:pPr>
              <w:jc w:val="center"/>
            </w:pPr>
            <w:r>
              <w:rPr>
                <w:color w:val="000000"/>
                <w:sz w:val="18"/>
                <w:szCs w:val="18"/>
              </w:rPr>
              <w:t>0.809</w:t>
            </w:r>
          </w:p>
        </w:tc>
        <w:tc>
          <w:tcPr>
            <w:tcW w:w="2126" w:type="dxa"/>
            <w:tcBorders>
              <w:top w:val="single" w:sz="1" w:space="0" w:color="CCCCCC"/>
              <w:left w:val="single" w:sz="1" w:space="0" w:color="CCCCCC"/>
              <w:bottom w:val="single" w:sz="1" w:space="0" w:color="CCCCCC"/>
              <w:right w:val="single" w:sz="1" w:space="0" w:color="CCCCCC"/>
            </w:tcBorders>
            <w:shd w:val="clear" w:color="auto" w:fill="FBE9E7"/>
            <w:tcMar>
              <w:top w:w="60" w:type="dxa"/>
              <w:left w:w="100" w:type="dxa"/>
              <w:bottom w:w="60" w:type="dxa"/>
              <w:right w:w="100" w:type="dxa"/>
            </w:tcMar>
            <w:vAlign w:val="center"/>
          </w:tcPr>
          <w:p w14:paraId="76960576" w14:textId="77777777" w:rsidR="00542C2D" w:rsidRDefault="00000000">
            <w:pPr>
              <w:jc w:val="center"/>
            </w:pPr>
            <w:r>
              <w:rPr>
                <w:color w:val="000000"/>
                <w:sz w:val="18"/>
                <w:szCs w:val="18"/>
              </w:rPr>
              <w:t>0.769</w:t>
            </w:r>
          </w:p>
        </w:tc>
      </w:tr>
      <w:tr w:rsidR="00542C2D" w14:paraId="7696057B" w14:textId="77777777" w:rsidTr="009C2A35">
        <w:tblPrEx>
          <w:tblCellMar>
            <w:top w:w="0" w:type="dxa"/>
            <w:bottom w:w="0" w:type="dxa"/>
          </w:tblCellMar>
        </w:tblPrEx>
        <w:tc>
          <w:tcPr>
            <w:tcW w:w="2267" w:type="dxa"/>
            <w:tcBorders>
              <w:top w:val="single" w:sz="1" w:space="0" w:color="CCCCCC"/>
              <w:left w:val="single" w:sz="1" w:space="0" w:color="CCCCCC"/>
              <w:bottom w:val="single" w:sz="1" w:space="0" w:color="CCCCCC"/>
              <w:right w:val="single" w:sz="1" w:space="0" w:color="CCCCCC"/>
            </w:tcBorders>
            <w:shd w:val="clear" w:color="auto" w:fill="FBE9E7"/>
            <w:tcMar>
              <w:top w:w="60" w:type="dxa"/>
              <w:left w:w="100" w:type="dxa"/>
              <w:bottom w:w="60" w:type="dxa"/>
              <w:right w:w="100" w:type="dxa"/>
            </w:tcMar>
            <w:vAlign w:val="center"/>
          </w:tcPr>
          <w:p w14:paraId="76960578" w14:textId="77777777" w:rsidR="00542C2D" w:rsidRDefault="00000000">
            <w:r>
              <w:rPr>
                <w:b/>
                <w:bCs/>
                <w:color w:val="000000"/>
                <w:sz w:val="18"/>
                <w:szCs w:val="18"/>
              </w:rPr>
              <w:t>M_warmup_512</w:t>
            </w:r>
          </w:p>
        </w:tc>
        <w:tc>
          <w:tcPr>
            <w:tcW w:w="1985" w:type="dxa"/>
            <w:tcBorders>
              <w:top w:val="single" w:sz="1" w:space="0" w:color="CCCCCC"/>
              <w:left w:val="single" w:sz="1" w:space="0" w:color="CCCCCC"/>
              <w:bottom w:val="single" w:sz="1" w:space="0" w:color="CCCCCC"/>
              <w:right w:val="single" w:sz="1" w:space="0" w:color="CCCCCC"/>
            </w:tcBorders>
            <w:shd w:val="clear" w:color="auto" w:fill="FBE9E7"/>
            <w:tcMar>
              <w:top w:w="60" w:type="dxa"/>
              <w:left w:w="100" w:type="dxa"/>
              <w:bottom w:w="60" w:type="dxa"/>
              <w:right w:w="100" w:type="dxa"/>
            </w:tcMar>
            <w:vAlign w:val="center"/>
          </w:tcPr>
          <w:p w14:paraId="76960579" w14:textId="77777777" w:rsidR="00542C2D" w:rsidRDefault="00000000">
            <w:pPr>
              <w:jc w:val="center"/>
            </w:pPr>
            <w:r>
              <w:rPr>
                <w:color w:val="000000"/>
                <w:sz w:val="18"/>
                <w:szCs w:val="18"/>
              </w:rPr>
              <w:t>0.805</w:t>
            </w:r>
          </w:p>
        </w:tc>
        <w:tc>
          <w:tcPr>
            <w:tcW w:w="2126" w:type="dxa"/>
            <w:tcBorders>
              <w:top w:val="single" w:sz="1" w:space="0" w:color="CCCCCC"/>
              <w:left w:val="single" w:sz="1" w:space="0" w:color="CCCCCC"/>
              <w:bottom w:val="single" w:sz="1" w:space="0" w:color="CCCCCC"/>
              <w:right w:val="single" w:sz="1" w:space="0" w:color="CCCCCC"/>
            </w:tcBorders>
            <w:shd w:val="clear" w:color="auto" w:fill="FBE9E7"/>
            <w:tcMar>
              <w:top w:w="60" w:type="dxa"/>
              <w:left w:w="100" w:type="dxa"/>
              <w:bottom w:w="60" w:type="dxa"/>
              <w:right w:w="100" w:type="dxa"/>
            </w:tcMar>
            <w:vAlign w:val="center"/>
          </w:tcPr>
          <w:p w14:paraId="7696057A" w14:textId="77777777" w:rsidR="00542C2D" w:rsidRDefault="00000000">
            <w:pPr>
              <w:jc w:val="center"/>
            </w:pPr>
            <w:r>
              <w:rPr>
                <w:color w:val="000000"/>
                <w:sz w:val="18"/>
                <w:szCs w:val="18"/>
              </w:rPr>
              <w:t>0.761</w:t>
            </w:r>
          </w:p>
        </w:tc>
      </w:tr>
    </w:tbl>
    <w:p w14:paraId="7696057C" w14:textId="77777777" w:rsidR="00542C2D" w:rsidRDefault="00542C2D">
      <w:pPr>
        <w:spacing w:after="160"/>
      </w:pPr>
    </w:p>
    <w:p w14:paraId="7696057D" w14:textId="77777777" w:rsidR="00542C2D" w:rsidRDefault="00000000">
      <w:pPr>
        <w:pStyle w:val="Heading1"/>
      </w:pPr>
      <w:r>
        <w:t>3. Effect of larger batch size and higher learning rate</w:t>
      </w:r>
    </w:p>
    <w:p w14:paraId="7696057E" w14:textId="77777777" w:rsidR="00542C2D" w:rsidRDefault="00000000">
      <w:pPr>
        <w:spacing w:after="140" w:line="276" w:lineRule="auto"/>
      </w:pPr>
      <w:r>
        <w:t xml:space="preserve">Models M and </w:t>
      </w:r>
      <w:proofErr w:type="spellStart"/>
      <w:r>
        <w:t>M+warmup</w:t>
      </w:r>
      <w:proofErr w:type="spellEnd"/>
      <w:r>
        <w:t xml:space="preserve"> raise the effective batch to 32 (via gradient accumulation) and the learning rate to 3e-5. Two distinct effects follow.</w:t>
      </w:r>
    </w:p>
    <w:p w14:paraId="7696057F" w14:textId="77777777" w:rsidR="00542C2D" w:rsidRDefault="00000000">
      <w:pPr>
        <w:spacing w:after="140" w:line="276" w:lineRule="auto"/>
      </w:pPr>
      <w:r>
        <w:rPr>
          <w:b/>
          <w:bCs/>
        </w:rPr>
        <w:t xml:space="preserve">First, F1 does not improve. </w:t>
      </w:r>
      <w:r>
        <w:t xml:space="preserve">M reaches 0.9205 and </w:t>
      </w:r>
      <w:proofErr w:type="spellStart"/>
      <w:r>
        <w:t>M+warmup</w:t>
      </w:r>
      <w:proofErr w:type="spellEnd"/>
      <w:r>
        <w:t xml:space="preserve"> 0.9195, both statistically indistinguishable from the F baseline (0.9208). For accuracy purposes, scaling up batch and learning rate is neutral.</w:t>
      </w:r>
    </w:p>
    <w:p w14:paraId="76960580" w14:textId="77777777" w:rsidR="00542C2D" w:rsidRDefault="00000000">
      <w:pPr>
        <w:spacing w:after="140" w:line="276" w:lineRule="auto"/>
      </w:pPr>
      <w:r>
        <w:rPr>
          <w:b/>
          <w:bCs/>
        </w:rPr>
        <w:t xml:space="preserve">Second, the loss and efficiency change markedly. </w:t>
      </w:r>
      <w:r>
        <w:t xml:space="preserve">M and </w:t>
      </w:r>
      <w:proofErr w:type="spellStart"/>
      <w:r>
        <w:t>M+warmup</w:t>
      </w:r>
      <w:proofErr w:type="spellEnd"/>
      <w:r>
        <w:t xml:space="preserve"> have by far the lowest test losses (0.266 and 0.259, versus ≈0.39–0.40 for the small-batch models). A larger batch yields smoother, lower-variance gradient estimates, so the model becomes better calibrated — its probabilities are less over-confident — even though the argmax decisions, and therefore F1, do not change. The large-batch runs also complete in far fewer optimiser steps (7,764 versus 31,047), making them more compute-efficient per epoch.</w:t>
      </w:r>
    </w:p>
    <w:p w14:paraId="76960581" w14:textId="77777777" w:rsidR="00542C2D" w:rsidRDefault="00000000">
      <w:pPr>
        <w:spacing w:after="140" w:line="276" w:lineRule="auto"/>
      </w:pPr>
      <w:r>
        <w:rPr>
          <w:b/>
          <w:bCs/>
        </w:rPr>
        <w:lastRenderedPageBreak/>
        <w:t xml:space="preserve">Raising the learning rate was necessary to make the larger batch work. </w:t>
      </w:r>
      <w:r>
        <w:t>In earlier experiments, a batch of 32 with the learning rate left at 2e-5 underperformed. Pairing the larger batch with a higher learning rate — the standard linear-scaling intuition that bigger batches require bigger steps — recovered that gap, which is why M matches the baseline rather than falling below it. The conclusion is that larger batch with a scaled learning rate buys speed and calibration, not accuracy.</w:t>
      </w:r>
    </w:p>
    <w:p w14:paraId="76960582" w14:textId="77777777" w:rsidR="00542C2D" w:rsidRDefault="00000000">
      <w:pPr>
        <w:pStyle w:val="Heading1"/>
      </w:pPr>
      <w:r>
        <w:t>4. Which parameters help</w:t>
      </w:r>
    </w:p>
    <w:p w14:paraId="76960583" w14:textId="77777777" w:rsidR="00542C2D" w:rsidRDefault="00000000">
      <w:pPr>
        <w:spacing w:after="140" w:line="276" w:lineRule="auto"/>
      </w:pPr>
      <w:r>
        <w:t xml:space="preserve">Ranking the levers by how much they </w:t>
      </w:r>
      <w:proofErr w:type="gramStart"/>
      <w:r>
        <w:t>actually moved</w:t>
      </w:r>
      <w:proofErr w:type="gramEnd"/>
      <w:r>
        <w:t xml:space="preserve"> F1:</w:t>
      </w:r>
    </w:p>
    <w:p w14:paraId="76960584" w14:textId="77777777" w:rsidR="00542C2D" w:rsidRDefault="00000000">
      <w:pPr>
        <w:pStyle w:val="ListParagraph"/>
        <w:numPr>
          <w:ilvl w:val="0"/>
          <w:numId w:val="2"/>
        </w:numPr>
        <w:spacing w:after="90" w:line="276" w:lineRule="auto"/>
      </w:pPr>
      <w:r>
        <w:rPr>
          <w:b/>
          <w:bCs/>
        </w:rPr>
        <w:t xml:space="preserve">Sequence length (256 → 512) </w:t>
      </w:r>
      <w:r>
        <w:t>is the only change that produced a clear, reliable gain (+0.26), concentrated in the hard classes. This is the genuine winner.</w:t>
      </w:r>
    </w:p>
    <w:p w14:paraId="76960585" w14:textId="77777777" w:rsidR="00542C2D" w:rsidRDefault="00000000">
      <w:pPr>
        <w:pStyle w:val="ListParagraph"/>
        <w:numPr>
          <w:ilvl w:val="0"/>
          <w:numId w:val="2"/>
        </w:numPr>
        <w:spacing w:after="90" w:line="276" w:lineRule="auto"/>
      </w:pPr>
      <w:r>
        <w:rPr>
          <w:b/>
          <w:bCs/>
        </w:rPr>
        <w:t xml:space="preserve">Warmup (0.1) </w:t>
      </w:r>
      <w:r>
        <w:t xml:space="preserve">gave the best single test number — O at 0.9223 versus F at 0.9208 — by stabilising early updates so the freshly-initialised classifier head does not make large destructive changes to the pretrained weights before the learning rate settles. However, this is a marginal and noisy effect (see Section 5), and it only helped the small-batch configuration: adding warmup to the large-batch M </w:t>
      </w:r>
      <w:proofErr w:type="gramStart"/>
      <w:r>
        <w:t>actually lowered</w:t>
      </w:r>
      <w:proofErr w:type="gramEnd"/>
      <w:r>
        <w:t xml:space="preserve"> test F1 (0.9205 → 0.9195). Warmup is therefore not a universal win.</w:t>
      </w:r>
    </w:p>
    <w:p w14:paraId="76960586" w14:textId="77777777" w:rsidR="00542C2D" w:rsidRDefault="00000000">
      <w:pPr>
        <w:pStyle w:val="ListParagraph"/>
        <w:numPr>
          <w:ilvl w:val="0"/>
          <w:numId w:val="2"/>
        </w:numPr>
        <w:spacing w:after="90" w:line="276" w:lineRule="auto"/>
      </w:pPr>
      <w:r>
        <w:rPr>
          <w:b/>
          <w:bCs/>
        </w:rPr>
        <w:t xml:space="preserve">Larger batch + higher LR </w:t>
      </w:r>
      <w:r>
        <w:t>helps neither metric — it improves only loss/calibration and training speed.</w:t>
      </w:r>
    </w:p>
    <w:p w14:paraId="76960587" w14:textId="77777777" w:rsidR="00542C2D" w:rsidRDefault="00000000">
      <w:pPr>
        <w:spacing w:after="140" w:line="276" w:lineRule="auto"/>
      </w:pPr>
      <w:r>
        <w:t>In short: maximum sequence length clearly helps; warmup helps marginally but unreliably; batch size and learning rate are neutral for the metric of interest.</w:t>
      </w:r>
    </w:p>
    <w:p w14:paraId="76960588" w14:textId="77777777" w:rsidR="00542C2D" w:rsidRDefault="00000000">
      <w:pPr>
        <w:pStyle w:val="Heading1"/>
      </w:pPr>
      <w:r>
        <w:t>5. The best model</w:t>
      </w:r>
    </w:p>
    <w:p w14:paraId="76960589" w14:textId="77777777" w:rsidR="00542C2D" w:rsidRDefault="00000000">
      <w:pPr>
        <w:spacing w:after="140" w:line="276" w:lineRule="auto"/>
      </w:pPr>
      <w:r>
        <w:t>On the test set, the best model is O_warmup_512 (512 tokens with warmup 0.1): test F1 0.9223 and test accuracy 0.9223.</w:t>
      </w:r>
    </w:p>
    <w:p w14:paraId="7696058A" w14:textId="77777777" w:rsidR="00542C2D" w:rsidRDefault="00000000">
      <w:pPr>
        <w:spacing w:after="140" w:line="276" w:lineRule="auto"/>
      </w:pPr>
      <w:r>
        <w:rPr>
          <w:b/>
          <w:bCs/>
        </w:rPr>
        <w:t xml:space="preserve">An honest caveat belongs here, because it is the defensible position. </w:t>
      </w:r>
      <w:r>
        <w:t xml:space="preserve">Comparing validation against test, O has the lowest validation F1 of all five models (0.9174) yet the highest test F1, while </w:t>
      </w:r>
      <w:proofErr w:type="spellStart"/>
      <w:r>
        <w:t>M+warmup</w:t>
      </w:r>
      <w:proofErr w:type="spellEnd"/>
      <w:r>
        <w:t xml:space="preserve"> has the highest validation F1 (0.9216) but a lower test F1 (0.9195). The validation and test rankings are essentially reversed. When the two splits disagree to this degree, the spread among the 512-token models (0.9195–0.9223, about 0.28 points) is run-to-run variance rather than a real quality difference.</w:t>
      </w:r>
    </w:p>
    <w:p w14:paraId="7696058B" w14:textId="77777777" w:rsidR="00542C2D" w:rsidRDefault="00000000">
      <w:pPr>
        <w:spacing w:after="140" w:line="276" w:lineRule="auto"/>
      </w:pPr>
      <w:r>
        <w:t>The fully defensible conclusion is therefore two-tiered. The 512-token family (≈0.920–0.922) clearly and consistently beats the 256-token baseline (0.918), and that difference is real. Within the 512-token family the models are statistically tied; O gives the best test result and is a reasonable choice, but it cannot be claimed to be robustly superior to F or M. If a single best model must be reported, name O (best test F1) while stating that the 512-token configurations are within noise of one another.</w:t>
      </w:r>
    </w:p>
    <w:p w14:paraId="7696058C" w14:textId="77777777" w:rsidR="00542C2D" w:rsidRDefault="00000000">
      <w:pPr>
        <w:spacing w:after="140" w:line="276" w:lineRule="auto"/>
      </w:pPr>
      <w:r>
        <w:rPr>
          <w:b/>
          <w:bCs/>
          <w:color w:val="2E6DA4"/>
        </w:rPr>
        <w:t xml:space="preserve">Why warmup helped Model O. </w:t>
      </w:r>
      <w:r>
        <w:t xml:space="preserve">Warmup linearly ramps the learning rate from zero up to its target (2e-5) over the first 10% of training steps before the usual decay begins, rather than starting at full speed. This matters when fine-tuning a pretrained model for two related reasons. </w:t>
      </w:r>
      <w:r>
        <w:lastRenderedPageBreak/>
        <w:t xml:space="preserve">First, the classification head is randomly initialised while the BERT body is already pretrained; in the opening steps that random head produces large, noisy gradients, and at full learning rate those gradients propagate back into the carefully pretrained weights and can partially erase what the model already knows. Warmup keeps the learning rate small while the head settles, protecting the pretrained representations during the most unstable phase. Second, the </w:t>
      </w:r>
      <w:proofErr w:type="spellStart"/>
      <w:r>
        <w:t>AdamW</w:t>
      </w:r>
      <w:proofErr w:type="spellEnd"/>
      <w:r>
        <w:t xml:space="preserve"> optimiser sets each parameter's step size from running estimates of the gradient statistics, which are unreliable when based on only a handful of early batches; warmup limits the damage from these erratic early adaptive steps until the estimates have stabilised.</w:t>
      </w:r>
    </w:p>
    <w:p w14:paraId="7696058D" w14:textId="77777777" w:rsidR="00542C2D" w:rsidRDefault="00000000">
      <w:pPr>
        <w:spacing w:after="140" w:line="276" w:lineRule="auto"/>
      </w:pPr>
      <w:r>
        <w:rPr>
          <w:b/>
          <w:bCs/>
        </w:rPr>
        <w:t xml:space="preserve">This mechanism is visible in the training trajectory. </w:t>
      </w:r>
      <w:r>
        <w:t xml:space="preserve">After the first epoch, O's validation F1 (0.906) is </w:t>
      </w:r>
      <w:proofErr w:type="gramStart"/>
      <w:r>
        <w:t>actually lower</w:t>
      </w:r>
      <w:proofErr w:type="gramEnd"/>
      <w:r>
        <w:t xml:space="preserve"> than the no-warmup baseline F's (0.909) — exactly what a throttled early learning rate should produce — yet by the end </w:t>
      </w:r>
      <w:proofErr w:type="spellStart"/>
      <w:r>
        <w:t>O</w:t>
      </w:r>
      <w:proofErr w:type="spellEnd"/>
      <w:r>
        <w:t xml:space="preserve"> reaches the best test F1 of the five models. The deliberately conservative start protects the pretrained weights and lets the model converge to a slightly better final solution.</w:t>
      </w:r>
    </w:p>
    <w:p w14:paraId="7696058E" w14:textId="77777777" w:rsidR="00542C2D" w:rsidRDefault="00000000">
      <w:pPr>
        <w:spacing w:after="140" w:line="276" w:lineRule="auto"/>
      </w:pPr>
      <w:r>
        <w:rPr>
          <w:b/>
          <w:bCs/>
        </w:rPr>
        <w:t xml:space="preserve">The same reasoning explains the interaction with batch size. </w:t>
      </w:r>
      <w:r>
        <w:t xml:space="preserve">Warmup helped the small-batch model O but not the large-batch </w:t>
      </w:r>
      <w:proofErr w:type="spellStart"/>
      <w:r>
        <w:t>M+warmup</w:t>
      </w:r>
      <w:proofErr w:type="spellEnd"/>
      <w:r>
        <w:t>, because a larger batch already produces smoother, lower-variance gradients from the outset; the early instability that warmup is designed to tame is largely absent there, so adding warmup is redundant and merely delays convergence within the fixed three-epoch budget. Warmup helps most precisely when early-training instability is greatest — the small-batch, cold-started case — which is consistent with the result. The caveat from above still applies: the winning margin (about 0.0015 test F1) is within noise, so warmup is best read as a principled, low-risk, well-motivated choice rather than a change proven to be robustly superior.</w:t>
      </w:r>
    </w:p>
    <w:p w14:paraId="7696058F" w14:textId="77777777" w:rsidR="00542C2D" w:rsidRDefault="00000000">
      <w:pPr>
        <w:pStyle w:val="Heading1"/>
      </w:pPr>
      <w:r>
        <w:t>6. Effect of training for more epochs</w:t>
      </w:r>
    </w:p>
    <w:p w14:paraId="76960590" w14:textId="77777777" w:rsidR="00542C2D" w:rsidRDefault="00000000">
      <w:pPr>
        <w:spacing w:after="140" w:line="276" w:lineRule="auto"/>
      </w:pPr>
      <w:r>
        <w:t>Training for additional epochs was also tested, and performance did not improve — it degraded. In extended runs allowing up to five epochs, test F1 came out lower than the three-epoch baseline (the 256-token five-epoch run fell to roughly 0.912 and the 512-token five-epoch run to roughly 0.920, neither beating its three-epoch counterpart).</w:t>
      </w:r>
    </w:p>
    <w:p w14:paraId="76960591" w14:textId="77777777" w:rsidR="00542C2D" w:rsidRDefault="00000000">
      <w:pPr>
        <w:spacing w:after="140" w:line="276" w:lineRule="auto"/>
      </w:pPr>
      <w:r>
        <w:t xml:space="preserve">The cause is visible directly in the per-epoch logs of these very models, as shown in Figure 2: validation loss rises every epoch even while validation F1 only creeps up, and training loss continues to fall. For Model F, training loss drops from 0.536 to 0.229 across the three epochs while validation loss climbs from 0.289 to 0.394. That widening gap — training loss down, validation loss up — is the classic onset of over-fitting, where the model begins to </w:t>
      </w:r>
      <w:proofErr w:type="gramStart"/>
      <w:r>
        <w:t>memorise</w:t>
      </w:r>
      <w:proofErr w:type="gramEnd"/>
      <w:r>
        <w:t xml:space="preserve"> the training set rather than generalise. Three epochs sits at the sweet spot, just before over-fitting takes over, so additional epochs only increase memorisation and harm generalisation without any F1 benefit.</w:t>
      </w:r>
    </w:p>
    <w:p w14:paraId="76960592" w14:textId="77777777" w:rsidR="00542C2D" w:rsidRDefault="00000000">
      <w:pPr>
        <w:spacing w:before="120" w:after="80"/>
        <w:jc w:val="center"/>
      </w:pPr>
      <w:r>
        <w:rPr>
          <w:noProof/>
        </w:rPr>
        <w:lastRenderedPageBreak/>
        <w:drawing>
          <wp:inline distT="0" distB="0" distL="0" distR="0" wp14:anchorId="769605AC" wp14:editId="769605AD">
            <wp:extent cx="5143500" cy="2686050"/>
            <wp:effectExtent l="0" t="0" r="0" b="0"/>
            <wp:docPr id="395890566" name="Picture 395890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143500" cy="2686050"/>
                    </a:xfrm>
                    <a:prstGeom prst="rect">
                      <a:avLst/>
                    </a:prstGeom>
                  </pic:spPr>
                </pic:pic>
              </a:graphicData>
            </a:graphic>
          </wp:inline>
        </w:drawing>
      </w:r>
    </w:p>
    <w:p w14:paraId="76960593" w14:textId="77777777" w:rsidR="00542C2D" w:rsidRDefault="00000000">
      <w:pPr>
        <w:spacing w:after="220"/>
        <w:jc w:val="center"/>
      </w:pPr>
      <w:r>
        <w:rPr>
          <w:i/>
          <w:iCs/>
          <w:color w:val="666666"/>
          <w:sz w:val="17"/>
          <w:szCs w:val="17"/>
        </w:rPr>
        <w:t>Figure 2. Model F across epochs: training loss falls while validation loss rises, and validation F1 plateaus — the signature of over-fitting. Adding epochs would worsen, not help, generalisation.</w:t>
      </w:r>
    </w:p>
    <w:p w14:paraId="76960594" w14:textId="77777777" w:rsidR="00542C2D" w:rsidRDefault="00000000">
      <w:pPr>
        <w:pStyle w:val="Heading1"/>
      </w:pPr>
      <w:r>
        <w:t>Summary</w:t>
      </w:r>
    </w:p>
    <w:p w14:paraId="76960595" w14:textId="77777777" w:rsidR="00542C2D" w:rsidRDefault="00000000">
      <w:pPr>
        <w:spacing w:after="140" w:line="276" w:lineRule="auto"/>
      </w:pPr>
      <w:r>
        <w:t>Weighted F1 is the appropriate metric for an imbalanced, high-stakes classification task. Longer context (512 tokens) is the one change that delivers a real, reliable gain, concentrated in the depression and suicidal classes. A larger batch with a scaled-up learning rate buys efficiency and calibration but not accuracy. Warmup yields the best, though noisy, test result. The best model is O_warmup_512 at test F1 0.9223, with the honest caveat that the 512-token models are within noise of each other. Finally, training for more epochs over-fits rather than helps, so three epochs is retained as the optimal training length.</w:t>
      </w:r>
    </w:p>
    <w:p w14:paraId="76960596" w14:textId="77777777" w:rsidR="00542C2D" w:rsidRDefault="00000000">
      <w:pPr>
        <w:pStyle w:val="Heading1"/>
      </w:pPr>
      <w:r>
        <w:t>Future Improvements</w:t>
      </w:r>
    </w:p>
    <w:p w14:paraId="76960597" w14:textId="77777777" w:rsidR="00542C2D" w:rsidRDefault="00000000">
      <w:pPr>
        <w:spacing w:after="140" w:line="276" w:lineRule="auto"/>
      </w:pPr>
      <w:r>
        <w:t>The results show that the performance ceiling of roughly 92% F1 is set by the semantic overlap between the depression and suicidal classes — a data- and label-level limitation — rather than by optimisation, since batch size, learning rate, warmup, and epoch count were all explored and none broke past that ceiling. Future work should therefore be directed at the data and the model rather than at further hyperparameter tuning. The following directions are ordered roughly by expected impact.</w:t>
      </w:r>
    </w:p>
    <w:p w14:paraId="76960598" w14:textId="77777777" w:rsidR="00542C2D" w:rsidRDefault="00000000">
      <w:pPr>
        <w:spacing w:after="140" w:line="276" w:lineRule="auto"/>
      </w:pPr>
      <w:r>
        <w:rPr>
          <w:b/>
          <w:bCs/>
          <w:color w:val="2E6DA4"/>
        </w:rPr>
        <w:t xml:space="preserve">A. Target the depression–suicidal bottleneck (highest priority). </w:t>
      </w:r>
    </w:p>
    <w:p w14:paraId="76960599" w14:textId="77777777" w:rsidR="00542C2D" w:rsidRDefault="00000000">
      <w:pPr>
        <w:pStyle w:val="ListParagraph"/>
        <w:numPr>
          <w:ilvl w:val="0"/>
          <w:numId w:val="2"/>
        </w:numPr>
        <w:spacing w:after="90" w:line="276" w:lineRule="auto"/>
      </w:pPr>
      <w:r>
        <w:rPr>
          <w:b/>
          <w:bCs/>
        </w:rPr>
        <w:t xml:space="preserve">Class-weighted or focal loss </w:t>
      </w:r>
      <w:r>
        <w:t>to focus learning on the hard and minority classes; suicidal has both the lowest support (1,104) and the lowest F1, so re-weighting the loss toward it directly attacks the main error source.</w:t>
      </w:r>
    </w:p>
    <w:p w14:paraId="7696059A" w14:textId="77777777" w:rsidR="00542C2D" w:rsidRDefault="00000000">
      <w:pPr>
        <w:pStyle w:val="ListParagraph"/>
        <w:numPr>
          <w:ilvl w:val="0"/>
          <w:numId w:val="2"/>
        </w:numPr>
        <w:spacing w:after="90" w:line="276" w:lineRule="auto"/>
      </w:pPr>
      <w:r>
        <w:rPr>
          <w:b/>
          <w:bCs/>
        </w:rPr>
        <w:t xml:space="preserve">Re-examine the labelling guidelines </w:t>
      </w:r>
      <w:r>
        <w:t>and re-annotate ambiguous depression-versus-suicidal cases. Part of the overlap is likely label noise, and cleaner class boundaries would raise the ceiling that no optimiser can lift.</w:t>
      </w:r>
    </w:p>
    <w:p w14:paraId="7696059B" w14:textId="77777777" w:rsidR="00542C2D" w:rsidRDefault="00000000">
      <w:pPr>
        <w:pStyle w:val="ListParagraph"/>
        <w:numPr>
          <w:ilvl w:val="0"/>
          <w:numId w:val="2"/>
        </w:numPr>
        <w:spacing w:after="90" w:line="276" w:lineRule="auto"/>
      </w:pPr>
      <w:r>
        <w:rPr>
          <w:b/>
          <w:bCs/>
        </w:rPr>
        <w:lastRenderedPageBreak/>
        <w:t xml:space="preserve">Two-stage (hierarchical) classification: </w:t>
      </w:r>
      <w:r>
        <w:t>first separate the easy classes, then route depression/suicidal candidates to a dedicated binary classifier trained specifically on that boundary.</w:t>
      </w:r>
    </w:p>
    <w:p w14:paraId="7696059C" w14:textId="77777777" w:rsidR="00542C2D" w:rsidRDefault="00000000">
      <w:pPr>
        <w:pStyle w:val="ListParagraph"/>
        <w:numPr>
          <w:ilvl w:val="0"/>
          <w:numId w:val="2"/>
        </w:numPr>
        <w:spacing w:after="90" w:line="276" w:lineRule="auto"/>
      </w:pPr>
      <w:r>
        <w:rPr>
          <w:b/>
          <w:bCs/>
        </w:rPr>
        <w:t xml:space="preserve">Cost-sensitive thresholding </w:t>
      </w:r>
      <w:r>
        <w:t>biased toward suicidal recall, reflecting that missing an at-risk post is costlier than a false alarm, with suicidal recall reported explicitly as a safety metric.</w:t>
      </w:r>
    </w:p>
    <w:p w14:paraId="7696059D" w14:textId="77777777" w:rsidR="00542C2D" w:rsidRDefault="00000000">
      <w:pPr>
        <w:spacing w:after="140" w:line="276" w:lineRule="auto"/>
      </w:pPr>
      <w:r>
        <w:rPr>
          <w:b/>
          <w:bCs/>
          <w:color w:val="2E6DA4"/>
        </w:rPr>
        <w:t xml:space="preserve">B. Stronger and domain-specific models. </w:t>
      </w:r>
    </w:p>
    <w:p w14:paraId="7696059E" w14:textId="77777777" w:rsidR="00542C2D" w:rsidRDefault="00000000">
      <w:pPr>
        <w:pStyle w:val="ListParagraph"/>
        <w:numPr>
          <w:ilvl w:val="0"/>
          <w:numId w:val="2"/>
        </w:numPr>
        <w:spacing w:after="90" w:line="276" w:lineRule="auto"/>
      </w:pPr>
      <w:r>
        <w:rPr>
          <w:b/>
          <w:bCs/>
        </w:rPr>
        <w:t xml:space="preserve">Domain-pretrained encoders </w:t>
      </w:r>
      <w:r>
        <w:t xml:space="preserve">such as </w:t>
      </w:r>
      <w:proofErr w:type="spellStart"/>
      <w:r>
        <w:t>MentalBERT</w:t>
      </w:r>
      <w:proofErr w:type="spellEnd"/>
      <w:r>
        <w:t xml:space="preserve"> or </w:t>
      </w:r>
      <w:proofErr w:type="spellStart"/>
      <w:r>
        <w:t>ClinicalBERT</w:t>
      </w:r>
      <w:proofErr w:type="spellEnd"/>
      <w:r>
        <w:t xml:space="preserve">, or stronger general models such as </w:t>
      </w:r>
      <w:proofErr w:type="spellStart"/>
      <w:r>
        <w:t>RoBERTa</w:t>
      </w:r>
      <w:proofErr w:type="spellEnd"/>
      <w:r>
        <w:t xml:space="preserve"> or DeBERTa-v3, which frequently outperform vanilla </w:t>
      </w:r>
      <w:proofErr w:type="spellStart"/>
      <w:r>
        <w:t>bert</w:t>
      </w:r>
      <w:proofErr w:type="spellEnd"/>
      <w:r>
        <w:t>-base-uncased on text classification.</w:t>
      </w:r>
    </w:p>
    <w:p w14:paraId="7696059F" w14:textId="77777777" w:rsidR="00542C2D" w:rsidRDefault="00000000">
      <w:pPr>
        <w:pStyle w:val="ListParagraph"/>
        <w:numPr>
          <w:ilvl w:val="0"/>
          <w:numId w:val="2"/>
        </w:numPr>
        <w:spacing w:after="90" w:line="276" w:lineRule="auto"/>
      </w:pPr>
      <w:r>
        <w:rPr>
          <w:b/>
          <w:bCs/>
        </w:rPr>
        <w:t xml:space="preserve">Long-document models </w:t>
      </w:r>
      <w:r>
        <w:t xml:space="preserve">such as </w:t>
      </w:r>
      <w:proofErr w:type="spellStart"/>
      <w:r>
        <w:t>Longformer</w:t>
      </w:r>
      <w:proofErr w:type="spellEnd"/>
      <w:r>
        <w:t xml:space="preserve"> or </w:t>
      </w:r>
      <w:proofErr w:type="spellStart"/>
      <w:r>
        <w:t>BigBird</w:t>
      </w:r>
      <w:proofErr w:type="spellEnd"/>
      <w:r>
        <w:t xml:space="preserve"> to eliminate truncation entirely for the small fraction of very long posts that even 512 tokens cannot fully capture.</w:t>
      </w:r>
    </w:p>
    <w:p w14:paraId="769605A0" w14:textId="77777777" w:rsidR="00542C2D" w:rsidRDefault="00000000">
      <w:pPr>
        <w:spacing w:after="140" w:line="276" w:lineRule="auto"/>
      </w:pPr>
      <w:r>
        <w:rPr>
          <w:b/>
          <w:bCs/>
          <w:color w:val="2E6DA4"/>
        </w:rPr>
        <w:t xml:space="preserve">C. Statistical rigour to make model selection defensible. </w:t>
      </w:r>
    </w:p>
    <w:p w14:paraId="769605A1" w14:textId="77777777" w:rsidR="00542C2D" w:rsidRDefault="00000000">
      <w:pPr>
        <w:pStyle w:val="ListParagraph"/>
        <w:numPr>
          <w:ilvl w:val="0"/>
          <w:numId w:val="2"/>
        </w:numPr>
        <w:spacing w:after="90" w:line="276" w:lineRule="auto"/>
      </w:pPr>
      <w:r>
        <w:rPr>
          <w:b/>
          <w:bCs/>
        </w:rPr>
        <w:t xml:space="preserve">Multi-seed runs (3–5 seeds) </w:t>
      </w:r>
      <w:r>
        <w:t>reporting mean ± standard deviation, since the differences among the 512-token models currently fall within run-to-run noise.</w:t>
      </w:r>
    </w:p>
    <w:p w14:paraId="769605A2" w14:textId="77777777" w:rsidR="00542C2D" w:rsidRDefault="00000000">
      <w:pPr>
        <w:pStyle w:val="ListParagraph"/>
        <w:numPr>
          <w:ilvl w:val="0"/>
          <w:numId w:val="2"/>
        </w:numPr>
        <w:spacing w:after="90" w:line="276" w:lineRule="auto"/>
      </w:pPr>
      <w:r>
        <w:rPr>
          <w:b/>
          <w:bCs/>
        </w:rPr>
        <w:t xml:space="preserve">Paired significance testing </w:t>
      </w:r>
      <w:r>
        <w:t>(e.g. McNemar's test or a paired bootstrap) before claiming that one model genuinely outperforms another.</w:t>
      </w:r>
    </w:p>
    <w:p w14:paraId="769605A3" w14:textId="77777777" w:rsidR="00542C2D" w:rsidRDefault="00000000">
      <w:pPr>
        <w:pStyle w:val="ListParagraph"/>
        <w:numPr>
          <w:ilvl w:val="0"/>
          <w:numId w:val="2"/>
        </w:numPr>
        <w:spacing w:after="90" w:line="276" w:lineRule="auto"/>
      </w:pPr>
      <w:r>
        <w:rPr>
          <w:b/>
          <w:bCs/>
        </w:rPr>
        <w:t xml:space="preserve">k-fold cross-validation </w:t>
      </w:r>
      <w:r>
        <w:t>instead of a single split, to obtain a more stable estimate of generalisation performance.</w:t>
      </w:r>
    </w:p>
    <w:p w14:paraId="769605A4" w14:textId="77777777" w:rsidR="00542C2D" w:rsidRDefault="00000000">
      <w:pPr>
        <w:spacing w:after="140" w:line="276" w:lineRule="auto"/>
      </w:pPr>
      <w:r>
        <w:rPr>
          <w:b/>
          <w:bCs/>
          <w:color w:val="2E6DA4"/>
        </w:rPr>
        <w:t xml:space="preserve">D. Data augmentation and error analysis. </w:t>
      </w:r>
    </w:p>
    <w:p w14:paraId="769605A5" w14:textId="77777777" w:rsidR="00542C2D" w:rsidRDefault="00000000">
      <w:pPr>
        <w:pStyle w:val="ListParagraph"/>
        <w:numPr>
          <w:ilvl w:val="0"/>
          <w:numId w:val="2"/>
        </w:numPr>
        <w:spacing w:after="90" w:line="276" w:lineRule="auto"/>
      </w:pPr>
      <w:r>
        <w:rPr>
          <w:b/>
          <w:bCs/>
        </w:rPr>
        <w:t xml:space="preserve">Augment the minority and hard classes </w:t>
      </w:r>
      <w:r>
        <w:t>through back-translation or paraphrasing to increase the effective support of the suicidal class.</w:t>
      </w:r>
    </w:p>
    <w:p w14:paraId="769605A6" w14:textId="77777777" w:rsidR="00542C2D" w:rsidRDefault="00000000">
      <w:pPr>
        <w:pStyle w:val="ListParagraph"/>
        <w:numPr>
          <w:ilvl w:val="0"/>
          <w:numId w:val="2"/>
        </w:numPr>
        <w:spacing w:after="90" w:line="276" w:lineRule="auto"/>
      </w:pPr>
      <w:r>
        <w:rPr>
          <w:b/>
          <w:bCs/>
        </w:rPr>
        <w:t xml:space="preserve">Confusion-matrix and qualitative error analysis </w:t>
      </w:r>
      <w:r>
        <w:t>of misclassified depression and suicidal posts, to characterise the failure modes and guide both labelling and modelling choices.</w:t>
      </w:r>
    </w:p>
    <w:p w14:paraId="769605A7" w14:textId="77777777" w:rsidR="00542C2D" w:rsidRDefault="00000000">
      <w:pPr>
        <w:spacing w:after="140" w:line="276" w:lineRule="auto"/>
      </w:pPr>
      <w:r>
        <w:rPr>
          <w:b/>
          <w:bCs/>
          <w:color w:val="2E6DA4"/>
        </w:rPr>
        <w:t xml:space="preserve">E. Deployment and safety (mental-health context). </w:t>
      </w:r>
    </w:p>
    <w:p w14:paraId="769605A8" w14:textId="77777777" w:rsidR="00542C2D" w:rsidRDefault="00000000">
      <w:pPr>
        <w:pStyle w:val="ListParagraph"/>
        <w:numPr>
          <w:ilvl w:val="0"/>
          <w:numId w:val="2"/>
        </w:numPr>
        <w:spacing w:after="90" w:line="276" w:lineRule="auto"/>
      </w:pPr>
      <w:r>
        <w:rPr>
          <w:b/>
          <w:bCs/>
        </w:rPr>
        <w:t xml:space="preserve">Probability calibration </w:t>
      </w:r>
      <w:r>
        <w:t>(e.g. temperature scaling) if the model's confidence scores feed a downstream risk-scoring system, since the larger-batch models already showed differences in calibration.</w:t>
      </w:r>
    </w:p>
    <w:p w14:paraId="769605A9" w14:textId="77777777" w:rsidR="00542C2D" w:rsidRDefault="00000000">
      <w:pPr>
        <w:pStyle w:val="ListParagraph"/>
        <w:numPr>
          <w:ilvl w:val="0"/>
          <w:numId w:val="2"/>
        </w:numPr>
        <w:spacing w:after="90" w:line="276" w:lineRule="auto"/>
      </w:pPr>
      <w:r>
        <w:rPr>
          <w:b/>
          <w:bCs/>
        </w:rPr>
        <w:t xml:space="preserve">Explainability and human-in-the-loop review </w:t>
      </w:r>
      <w:r>
        <w:t>using attention or SHAP-based explanations, with human verification of high-risk (suicidal) predictions before any action is taken.</w:t>
      </w:r>
    </w:p>
    <w:sectPr w:rsidR="00542C2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2A32C5"/>
    <w:multiLevelType w:val="hybridMultilevel"/>
    <w:tmpl w:val="ECD0A3CA"/>
    <w:lvl w:ilvl="0" w:tplc="E744D16A">
      <w:start w:val="1"/>
      <w:numFmt w:val="bullet"/>
      <w:lvlText w:val="•"/>
      <w:lvlJc w:val="left"/>
      <w:pPr>
        <w:ind w:left="540" w:hanging="260"/>
      </w:pPr>
    </w:lvl>
    <w:lvl w:ilvl="1" w:tplc="4C04CB38">
      <w:numFmt w:val="decimal"/>
      <w:lvlText w:val=""/>
      <w:lvlJc w:val="left"/>
    </w:lvl>
    <w:lvl w:ilvl="2" w:tplc="BC7A4CA2">
      <w:numFmt w:val="decimal"/>
      <w:lvlText w:val=""/>
      <w:lvlJc w:val="left"/>
    </w:lvl>
    <w:lvl w:ilvl="3" w:tplc="76506F0A">
      <w:numFmt w:val="decimal"/>
      <w:lvlText w:val=""/>
      <w:lvlJc w:val="left"/>
    </w:lvl>
    <w:lvl w:ilvl="4" w:tplc="4A7ABC6A">
      <w:numFmt w:val="decimal"/>
      <w:lvlText w:val=""/>
      <w:lvlJc w:val="left"/>
    </w:lvl>
    <w:lvl w:ilvl="5" w:tplc="B49A284A">
      <w:numFmt w:val="decimal"/>
      <w:lvlText w:val=""/>
      <w:lvlJc w:val="left"/>
    </w:lvl>
    <w:lvl w:ilvl="6" w:tplc="19CABA02">
      <w:numFmt w:val="decimal"/>
      <w:lvlText w:val=""/>
      <w:lvlJc w:val="left"/>
    </w:lvl>
    <w:lvl w:ilvl="7" w:tplc="684A5D7E">
      <w:numFmt w:val="decimal"/>
      <w:lvlText w:val=""/>
      <w:lvlJc w:val="left"/>
    </w:lvl>
    <w:lvl w:ilvl="8" w:tplc="3AECB8FC">
      <w:numFmt w:val="decimal"/>
      <w:lvlText w:val=""/>
      <w:lvlJc w:val="left"/>
    </w:lvl>
  </w:abstractNum>
  <w:abstractNum w:abstractNumId="1" w15:restartNumberingAfterBreak="0">
    <w:nsid w:val="744D0341"/>
    <w:multiLevelType w:val="hybridMultilevel"/>
    <w:tmpl w:val="FB5EF22A"/>
    <w:lvl w:ilvl="0" w:tplc="D7D6B340">
      <w:start w:val="1"/>
      <w:numFmt w:val="bullet"/>
      <w:lvlText w:val="●"/>
      <w:lvlJc w:val="left"/>
      <w:pPr>
        <w:ind w:left="720" w:hanging="360"/>
      </w:pPr>
    </w:lvl>
    <w:lvl w:ilvl="1" w:tplc="2974CA54">
      <w:start w:val="1"/>
      <w:numFmt w:val="bullet"/>
      <w:lvlText w:val="○"/>
      <w:lvlJc w:val="left"/>
      <w:pPr>
        <w:ind w:left="1440" w:hanging="360"/>
      </w:pPr>
    </w:lvl>
    <w:lvl w:ilvl="2" w:tplc="97146FA8">
      <w:start w:val="1"/>
      <w:numFmt w:val="bullet"/>
      <w:lvlText w:val="■"/>
      <w:lvlJc w:val="left"/>
      <w:pPr>
        <w:ind w:left="2160" w:hanging="360"/>
      </w:pPr>
    </w:lvl>
    <w:lvl w:ilvl="3" w:tplc="EABE2B10">
      <w:start w:val="1"/>
      <w:numFmt w:val="bullet"/>
      <w:lvlText w:val="●"/>
      <w:lvlJc w:val="left"/>
      <w:pPr>
        <w:ind w:left="2880" w:hanging="360"/>
      </w:pPr>
    </w:lvl>
    <w:lvl w:ilvl="4" w:tplc="4F6C4D64">
      <w:start w:val="1"/>
      <w:numFmt w:val="bullet"/>
      <w:lvlText w:val="○"/>
      <w:lvlJc w:val="left"/>
      <w:pPr>
        <w:ind w:left="3600" w:hanging="360"/>
      </w:pPr>
    </w:lvl>
    <w:lvl w:ilvl="5" w:tplc="5FB88B6A">
      <w:start w:val="1"/>
      <w:numFmt w:val="bullet"/>
      <w:lvlText w:val="■"/>
      <w:lvlJc w:val="left"/>
      <w:pPr>
        <w:ind w:left="4320" w:hanging="360"/>
      </w:pPr>
    </w:lvl>
    <w:lvl w:ilvl="6" w:tplc="D8B08404">
      <w:start w:val="1"/>
      <w:numFmt w:val="bullet"/>
      <w:lvlText w:val="●"/>
      <w:lvlJc w:val="left"/>
      <w:pPr>
        <w:ind w:left="5040" w:hanging="360"/>
      </w:pPr>
    </w:lvl>
    <w:lvl w:ilvl="7" w:tplc="09F8EA2A">
      <w:start w:val="1"/>
      <w:numFmt w:val="bullet"/>
      <w:lvlText w:val="●"/>
      <w:lvlJc w:val="left"/>
      <w:pPr>
        <w:ind w:left="5760" w:hanging="360"/>
      </w:pPr>
    </w:lvl>
    <w:lvl w:ilvl="8" w:tplc="03227AB0">
      <w:start w:val="1"/>
      <w:numFmt w:val="bullet"/>
      <w:lvlText w:val="●"/>
      <w:lvlJc w:val="left"/>
      <w:pPr>
        <w:ind w:left="6480" w:hanging="360"/>
      </w:pPr>
    </w:lvl>
  </w:abstractNum>
  <w:num w:numId="1" w16cid:durableId="30881499">
    <w:abstractNumId w:val="1"/>
    <w:lvlOverride w:ilvl="0">
      <w:startOverride w:val="1"/>
    </w:lvlOverride>
  </w:num>
  <w:num w:numId="2" w16cid:durableId="7012435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2C2D"/>
    <w:rsid w:val="00542C2D"/>
    <w:rsid w:val="009C2A35"/>
    <w:rsid w:val="00C516A9"/>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960519"/>
  <w15:docId w15:val="{5F7EE47A-2004-4C41-9A6E-BD40A4C300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color w:val="2E6DA4"/>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6</Pages>
  <Words>2071</Words>
  <Characters>11807</Characters>
  <Application>Microsoft Office Word</Application>
  <DocSecurity>0</DocSecurity>
  <Lines>98</Lines>
  <Paragraphs>27</Paragraphs>
  <ScaleCrop>false</ScaleCrop>
  <Company/>
  <LinksUpToDate>false</LinksUpToDate>
  <CharactersWithSpaces>13851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Ang Anson</cp:lastModifiedBy>
  <cp:revision>2</cp:revision>
  <dcterms:created xsi:type="dcterms:W3CDTF">2026-06-14T02:06:00Z</dcterms:created>
  <dcterms:modified xsi:type="dcterms:W3CDTF">2026-06-14T13:40:00Z</dcterms:modified>
</cp:coreProperties>
</file>