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E9E80"/>
          <w:sz w:val="18"/>
          <w:szCs w:val="18"/>
        </w:rPr>
        <w:t xml:space="preserve">UNAI COGNITIVE RUNTIME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4233F"/>
          <w:sz w:val="40"/>
          <w:szCs w:val="40"/>
        </w:rPr>
        <w:t xml:space="preserve">The Bristlecone Leadership Case</w:t>
      </w:r>
    </w:p>
    <w:p>
      <w:pPr>
        <w:spacing w:after="120"/>
      </w:pPr>
      <w:r>
        <w:rPr>
          <w:rFonts w:ascii="Arial" w:cs="Arial" w:eastAsia="Arial" w:hAnsi="Arial"/>
          <w:color w:val="333333"/>
        </w:rPr>
        <w:t xml:space="preserve">For a go/no-go, three things matter: why we uniquely win, what the customer saves and gains, and what Bristlecone makes. This one-pager answers all three. UNAI is a </w:t>
      </w:r>
      <w:r>
        <w:rPr>
          <w:rFonts w:ascii="Arial" w:cs="Arial" w:eastAsia="Arial" w:hAnsi="Arial"/>
          <w:b/>
          <w:bCs/>
          <w:color w:val="14233F"/>
        </w:rPr>
        <w:t xml:space="preserve">shared cognitive runtime</w:t>
      </w:r>
      <w:r>
        <w:rPr>
          <w:rFonts w:ascii="Arial" w:cs="Arial" w:eastAsia="Arial" w:hAnsi="Arial"/>
          <w:color w:val="333333"/>
        </w:rPr>
        <w:t xml:space="preserve"> — perception, memory, ontology, planning, evidence and governance built </w:t>
      </w:r>
      <w:r>
        <w:rPr>
          <w:rFonts w:ascii="Arial" w:cs="Arial" w:eastAsia="Arial" w:hAnsi="Arial"/>
          <w:i/>
          <w:iCs/>
          <w:color w:val="333333"/>
        </w:rPr>
        <w:t xml:space="preserve">once</w:t>
      </w:r>
      <w:r>
        <w:rPr>
          <w:rFonts w:ascii="Arial" w:cs="Arial" w:eastAsia="Arial" w:hAnsi="Arial"/>
          <w:color w:val="333333"/>
        </w:rPr>
        <w:t xml:space="preserve">, with thin domain executors on top. It consolidates agents; it does not orchestrate them.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4233F"/>
          <w:sz w:val="26"/>
          <w:szCs w:val="26"/>
        </w:rPr>
        <w:t xml:space="preserve">1 · Unique differentiation — why we win</w:t>
      </w:r>
    </w:p>
    <w:p>
      <w:pPr>
        <w:spacing w:after="120"/>
      </w:pPr>
      <w:r>
        <w:rPr>
          <w:rFonts w:ascii="Arial" w:cs="Arial" w:eastAsia="Arial" w:hAnsi="Arial"/>
          <w:color w:val="333333"/>
        </w:rPr>
        <w:t xml:space="preserve">This is a category, not a feature. The market ships orchestrators and MCP routers that keep N separate agents and N² coordination. UNAI removes the agents.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Consolidation, not orchestration: </w:t>
      </w:r>
      <w:r>
        <w:rPr>
          <w:rFonts w:ascii="Arial" w:cs="Arial" w:eastAsia="Arial" w:hAnsi="Arial"/>
        </w:rPr>
        <w:t xml:space="preserve">N specialist agents collapse to one runtime (e.g., RMA 15 → 1; 105 → 21 layer builds, −80%). Fewer things to build, secure and maintain.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One canonical ontology, zero re-mapping: </w:t>
      </w:r>
      <w:r>
        <w:rPr>
          <w:rFonts w:ascii="Arial" w:cs="Arial" w:eastAsia="Arial" w:hAnsi="Arial"/>
        </w:rPr>
        <w:t xml:space="preserve">SAP, Databricks/Snowflake/BigQuery and ServiceNow map once to shared meaning, so a use case built on one warehouse runs on another by switching an adapter.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A structural moat — SAP-compliant by design: </w:t>
      </w:r>
      <w:r>
        <w:rPr>
          <w:rFonts w:ascii="Arial" w:cs="Arial" w:eastAsia="Arial" w:hAnsi="Arial"/>
        </w:rPr>
        <w:t xml:space="preserve">UNAI reads the governed lakehouse copy, in-tenant, read-only first — compliant with SAP’s API Policy (v4/2026) that bars third-party agents from calling SAP APIs directly. Competitors that hit SAP directly cannot match this posture.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Accountable and neutral: </w:t>
      </w:r>
      <w:r>
        <w:rPr>
          <w:rFonts w:ascii="Arial" w:cs="Arial" w:eastAsia="Arial" w:hAnsi="Arial"/>
        </w:rPr>
        <w:t xml:space="preserve">every decision carries evidence + a governance gate; one observability surface; cloud- and model-neutral (any OpenAI-compatible gateway, including Claude). No lock-in.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4233F"/>
          <w:sz w:val="26"/>
          <w:szCs w:val="26"/>
        </w:rPr>
        <w:t xml:space="preserve">2 · Customer value — save and become more profitable</w:t>
      </w:r>
    </w:p>
    <w:p>
      <w:pPr>
        <w:spacing w:after="120"/>
      </w:pPr>
      <w:r>
        <w:rPr>
          <w:rFonts w:ascii="Arial" w:cs="Arial" w:eastAsia="Arial" w:hAnsi="Arial"/>
          <w:color w:val="333333"/>
        </w:rPr>
        <w:t xml:space="preserve">The runtime pays back on the biggest AI line — </w:t>
      </w:r>
      <w:r>
        <w:rPr>
          <w:rFonts w:ascii="Arial" w:cs="Arial" w:eastAsia="Arial" w:hAnsi="Arial"/>
          <w:b/>
          <w:bCs/>
        </w:rPr>
        <w:t xml:space="preserve">inference is ~85% of enterprise AI budgets</w:t>
      </w:r>
      <w:r>
        <w:rPr>
          <w:rFonts w:ascii="Arial" w:cs="Arial" w:eastAsia="Arial" w:hAnsi="Arial"/>
          <w:color w:val="333333"/>
        </w:rPr>
        <w:t xml:space="preserve"> — because the shared cognition (ontology context + one plan) is paid once per goal instead of once per specialist. Modeled savings, tunable in the app:</w:t>
      </w:r>
    </w:p>
    <w:tbl>
      <w:tblPr>
        <w:tblW w:type="pct" w:w="100%"/>
        <w:tblBorders>
          <w:top w:val="single" w:color="D9E0EA" w:sz="2"/>
          <w:left w:val="none"/>
          <w:bottom w:val="single" w:color="D9E0EA" w:sz="2"/>
          <w:right w:val="none"/>
          <w:insideH w:val="single" w:color="EDF1F6" w:sz="2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4233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pct" w:w="33%"/>
            <w:shd w:fill="14233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100k agent runs/day</w:t>
            </w:r>
          </w:p>
        </w:tc>
        <w:tc>
          <w:tcPr>
            <w:tcW w:type="pct" w:w="33%"/>
            <w:shd w:fill="14233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1M runs/day</w:t>
            </w:r>
          </w:p>
        </w:tc>
      </w:tr>
      <w:t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Claude Sonnet 4.6</w:t>
            </w:r>
          </w:p>
        </w:tc>
        <w:tc>
          <w:tcPr>
            <w:tcW w:type="pct" w:w="33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9E80"/>
                <w:sz w:val="18"/>
                <w:szCs w:val="18"/>
              </w:rPr>
              <w:t xml:space="preserve">$178k / yr</w:t>
            </w:r>
          </w:p>
        </w:tc>
        <w:tc>
          <w:tcPr>
            <w:tcW w:type="pct" w:w="33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9E80"/>
                <w:sz w:val="18"/>
                <w:szCs w:val="18"/>
              </w:rPr>
              <w:t xml:space="preserve">$1.78M / yr</w:t>
            </w:r>
          </w:p>
        </w:tc>
      </w:tr>
      <w:t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Claude Opus 4.6</w:t>
            </w:r>
          </w:p>
        </w:tc>
        <w:tc>
          <w:tcPr>
            <w:tcW w:type="pct" w:w="33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9E80"/>
                <w:sz w:val="18"/>
                <w:szCs w:val="18"/>
              </w:rPr>
              <w:t xml:space="preserve">$297k / yr</w:t>
            </w:r>
          </w:p>
        </w:tc>
        <w:tc>
          <w:tcPr>
            <w:tcW w:type="pct" w:w="33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9E80"/>
                <w:sz w:val="18"/>
                <w:szCs w:val="18"/>
              </w:rPr>
              <w:t xml:space="preserve">$2.97M / yr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D6B8C"/>
          <w:sz w:val="16"/>
          <w:szCs w:val="16"/>
        </w:rPr>
        <w:t xml:space="preserve">Conservative floor — counts only input tokens saved on a light 5-call workflow. Real agent tasks run 20–50 LLM calls, so multiply by ~4–10× (Sonnet @ 100k runs/day ≈ $3.6M/yr). Prompt caching is additive (up to −90% on the shared prefix).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~80% fewer builds: </w:t>
      </w:r>
      <w:r>
        <w:rPr>
          <w:rFonts w:ascii="Arial" w:cs="Arial" w:eastAsia="Arial" w:hAnsi="Arial"/>
        </w:rPr>
        <w:t xml:space="preserve">seven layers once + a pack per use case (not N×7) → ~4-month payback and ~$3.6M three-year build/run savings for a 10-capability estate.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Outcomes beyond IT: </w:t>
      </w:r>
      <w:r>
        <w:rPr>
          <w:rFonts w:ascii="Arial" w:cs="Arial" w:eastAsia="Arial" w:hAnsi="Arial"/>
        </w:rPr>
        <w:t xml:space="preserve">faster disruption response and planning cycles (industry: 2–5% margin improvement, 60% faster planning), fewer stock-outs, lower working capital.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Easy to justify: </w:t>
      </w:r>
      <w:r>
        <w:rPr>
          <w:rFonts w:ascii="Arial" w:cs="Arial" w:eastAsia="Arial" w:hAnsi="Arial"/>
        </w:rPr>
        <w:t xml:space="preserve">list price is ~31% of modeled customer value — the customer keeps the majority.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4233F"/>
          <w:sz w:val="26"/>
          <w:szCs w:val="26"/>
        </w:rPr>
        <w:t xml:space="preserve">3 · Commercial value — what Bristlecone makes</w:t>
      </w:r>
    </w:p>
    <w:p>
      <w:pPr>
        <w:spacing w:after="120"/>
      </w:pPr>
      <w:r>
        <w:rPr>
          <w:rFonts w:ascii="Arial" w:cs="Arial" w:eastAsia="Arial" w:hAnsi="Arial"/>
          <w:color w:val="333333"/>
        </w:rPr>
        <w:t xml:space="preserve">Four reinforcing streams on one platform: </w:t>
      </w:r>
      <w:r>
        <w:rPr>
          <w:rFonts w:ascii="Arial" w:cs="Arial" w:eastAsia="Arial" w:hAnsi="Arial"/>
          <w:b/>
          <w:bCs/>
        </w:rPr>
        <w:t xml:space="preserve">subscription + implementation + agent-conversion + managed run</w:t>
      </w:r>
      <w:r>
        <w:rPr>
          <w:rFonts w:ascii="Arial" w:cs="Arial" w:eastAsia="Arial" w:hAnsi="Arial"/>
          <w:color w:val="333333"/>
        </w:rPr>
        <w:t xml:space="preserve">. Land with a use case, expand as packs are added (high net revenue retention). ~$327k average ACV for a 10-pack estate, growing per account.</w:t>
      </w:r>
    </w:p>
    <w:tbl>
      <w:tblPr>
        <w:tblW w:type="pct" w:w="100%"/>
        <w:tblBorders>
          <w:top w:val="single" w:color="D9E0EA" w:sz="2"/>
          <w:left w:val="none"/>
          <w:bottom w:val="single" w:color="D9E0EA" w:sz="2"/>
          <w:right w:val="none"/>
          <w:insideH w:val="single" w:color="EDF1F6" w:sz="2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4233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Horizon</w:t>
            </w:r>
          </w:p>
        </w:tc>
        <w:tc>
          <w:tcPr>
            <w:tcW w:type="pct" w:w="33%"/>
            <w:shd w:fill="14233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  <w:tc>
          <w:tcPr>
            <w:tcW w:type="pct" w:w="33%"/>
            <w:shd w:fill="14233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revenue (model)</w:t>
            </w:r>
          </w:p>
        </w:tc>
      </w:tr>
      <w:t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Year 1 · prove</w:t>
            </w:r>
          </w:p>
        </w:tc>
        <w:tc>
          <w:tcPr>
            <w:tcW w:type="pct" w:w="33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~10</w:t>
            </w:r>
          </w:p>
        </w:tc>
        <w:tc>
          <w:tcPr>
            <w:tcW w:type="pct" w:w="33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9E80"/>
                <w:sz w:val="18"/>
                <w:szCs w:val="18"/>
              </w:rPr>
              <w:t xml:space="preserve">~$5M</w:t>
            </w:r>
          </w:p>
        </w:tc>
      </w:tr>
      <w:t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Year 2 · expand</w:t>
            </w:r>
          </w:p>
        </w:tc>
        <w:tc>
          <w:tcPr>
            <w:tcW w:type="pct" w:w="33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~40</w:t>
            </w:r>
          </w:p>
        </w:tc>
        <w:tc>
          <w:tcPr>
            <w:tcW w:type="pct" w:w="33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9E80"/>
                <w:sz w:val="18"/>
                <w:szCs w:val="18"/>
              </w:rPr>
              <w:t xml:space="preserve">~$22M</w:t>
            </w:r>
          </w:p>
        </w:tc>
      </w:tr>
      <w:t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Year 3 · scale</w:t>
            </w:r>
          </w:p>
        </w:tc>
        <w:tc>
          <w:tcPr>
            <w:tcW w:type="pct" w:w="33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~120</w:t>
            </w:r>
          </w:p>
        </w:tc>
        <w:tc>
          <w:tcPr>
            <w:tcW w:type="pct" w:w="33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9E80"/>
                <w:sz w:val="18"/>
                <w:szCs w:val="18"/>
              </w:rPr>
              <w:t xml:space="preserve">~$65M</w:t>
            </w:r>
          </w:p>
        </w:tc>
      </w:tr>
      <w:t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~Year 7 · target</w:t>
            </w:r>
          </w:p>
        </w:tc>
        <w:tc>
          <w:tcPr>
            <w:tcW w:type="pct" w:w="33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~800</w:t>
            </w:r>
          </w:p>
        </w:tc>
        <w:tc>
          <w:tcPr>
            <w:tcW w:type="pct" w:w="33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33F"/>
                <w:sz w:val="18"/>
                <w:szCs w:val="18"/>
              </w:rPr>
              <w:t xml:space="preserve">~$1B ( $620M sub + $372M svc 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</w:rPr>
        <w:t xml:space="preserve">The Cognitive Runtime is the wedge: it consolidates a customer’s agent sprawl (conversion services), then compounds through packs (subscription) and operation (managed run) — Bristlecone’s SI strength monetized on a product, not just a project.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4233F"/>
          <w:sz w:val="26"/>
          <w:szCs w:val="26"/>
        </w:rPr>
        <w:t xml:space="preserve">The ask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33F"/>
        </w:rPr>
        <w:t xml:space="preserve">Greenlight a 6-week, read-only pilot </w:t>
      </w:r>
      <w:r>
        <w:rPr>
          <w:rFonts w:ascii="Arial" w:cs="Arial" w:eastAsia="Arial" w:hAnsi="Arial"/>
          <w:color w:val="333333"/>
        </w:rPr>
        <w:t xml:space="preserve">on one use case (Supplier Disruption) against a customer’s Databricks — measured value in six weeks, expand on proof. The substrate is already built.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B8C"/>
        <w:sz w:val="14"/>
        <w:szCs w:val="14"/>
      </w:rPr>
      <w:t xml:space="preserve">Bristlecone · Internal — figures are models, not forecasts · not for external distribution · page </w:t>
    </w:r>
    <w:r>
      <w:rPr>
        <w:rFonts w:ascii="Arial" w:cs="Arial" w:eastAsia="Arial" w:hAnsi="Arial"/>
        <w:color w:val="5D6B8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2026-07-05T13:17:04.102Z</dcterms:created>
  <dcterms:modified xsi:type="dcterms:W3CDTF">2026-07-05T13:17:04.102Z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