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6B4AC" w14:textId="77777777" w:rsidR="00750419" w:rsidRDefault="00000000">
      <w:pPr>
        <w:spacing w:after="20"/>
      </w:pPr>
      <w:r>
        <w:rPr>
          <w:b/>
          <w:bCs/>
          <w:color w:val="0C7C6F"/>
          <w:sz w:val="18"/>
          <w:szCs w:val="18"/>
        </w:rPr>
        <w:t>UNAI · UNIVERSAL AGENTIC RUNTIME</w:t>
      </w:r>
    </w:p>
    <w:p w14:paraId="68EE1A33" w14:textId="77777777" w:rsidR="00750419" w:rsidRDefault="00000000">
      <w:pPr>
        <w:spacing w:after="16"/>
      </w:pPr>
      <w:r>
        <w:rPr>
          <w:rFonts w:ascii="Cambria" w:eastAsia="Cambria" w:hAnsi="Cambria" w:cs="Cambria"/>
          <w:b/>
          <w:bCs/>
          <w:color w:val="1F3556"/>
          <w:sz w:val="34"/>
          <w:szCs w:val="34"/>
        </w:rPr>
        <w:t>A shared cognitive runtime for enterprise supply chain</w:t>
      </w:r>
    </w:p>
    <w:p w14:paraId="11701024" w14:textId="77777777" w:rsidR="00750419" w:rsidRDefault="00750419">
      <w:pPr>
        <w:pBdr>
          <w:bottom w:val="single" w:sz="12" w:space="0" w:color="0C7C6F"/>
        </w:pBdr>
        <w:spacing w:after="90"/>
      </w:pPr>
    </w:p>
    <w:p w14:paraId="1327E0FD" w14:textId="77777777" w:rsidR="00750419" w:rsidRDefault="00000000">
      <w:pPr>
        <w:spacing w:after="70"/>
      </w:pPr>
      <w:r>
        <w:t>Instead of building a separate AI agent for every task — each re-implementing perception, memory, reasoning, evidence, action, collaboration and explainability — UNAI builds that cognition once and runs many lightweight, domain-specific executors on top. New capabilities are added by configuration, not new code. The result is fewer moving parts, lower and more predictable cost, and one governed, auditable system across the supply chain.</w:t>
      </w:r>
    </w:p>
    <w:p w14:paraId="7BEF0E51" w14:textId="77777777" w:rsidR="00750419" w:rsidRDefault="00000000">
      <w:pPr>
        <w:spacing w:before="110" w:after="40"/>
      </w:pPr>
      <w:r>
        <w:rPr>
          <w:rFonts w:ascii="Cambria" w:eastAsia="Cambria" w:hAnsi="Cambria" w:cs="Cambria"/>
          <w:b/>
          <w:bCs/>
          <w:color w:val="0C7C6F"/>
          <w:sz w:val="23"/>
          <w:szCs w:val="23"/>
        </w:rPr>
        <w:t>Why it is a differentiator</w:t>
      </w:r>
    </w:p>
    <w:p w14:paraId="1D053369" w14:textId="77777777" w:rsidR="00750419" w:rsidRDefault="00000000">
      <w:pPr>
        <w:spacing w:after="70"/>
      </w:pPr>
      <w:r>
        <w:rPr>
          <w:b/>
          <w:bCs/>
          <w:color w:val="1F3556"/>
        </w:rPr>
        <w:t xml:space="preserve">Consolidation, not orchestration — </w:t>
      </w:r>
      <w:r>
        <w:t>one runtime replaces a sprawl of single-purpose agents, so cost scales with value delivered rather than the number of agents. Savings are measured on connected data, not asserted.</w:t>
      </w:r>
    </w:p>
    <w:p w14:paraId="6B9211E4" w14:textId="1E7DD375" w:rsidR="00750419" w:rsidRDefault="00000000">
      <w:pPr>
        <w:spacing w:after="70"/>
      </w:pPr>
      <w:r>
        <w:rPr>
          <w:b/>
          <w:bCs/>
          <w:color w:val="1F3556"/>
        </w:rPr>
        <w:t xml:space="preserve">A self-improving semantic core — </w:t>
      </w:r>
      <w:r>
        <w:t xml:space="preserve">a canonical ontology maps every system's </w:t>
      </w:r>
      <w:r w:rsidR="009E791D">
        <w:t>field</w:t>
      </w:r>
      <w:r>
        <w:t xml:space="preserve"> into one business language and learns across deployments — onboarding a new system takes days, not weeks, and gets faster each time. UNAI reasons in supply-chain terms (lead times, safety stock, DDMRP buffers, cannibalization), not as a generic model.</w:t>
      </w:r>
    </w:p>
    <w:p w14:paraId="5DC5545C" w14:textId="341FCD41" w:rsidR="00750419" w:rsidRDefault="00000000">
      <w:pPr>
        <w:spacing w:after="70"/>
      </w:pPr>
      <w:r>
        <w:rPr>
          <w:b/>
          <w:bCs/>
          <w:color w:val="1F3556"/>
        </w:rPr>
        <w:t xml:space="preserve">Neutral and compliant by design — </w:t>
      </w:r>
      <w:r>
        <w:t xml:space="preserve">model-, warehouse- and cloud-neutral; consumes the governed </w:t>
      </w:r>
      <w:r w:rsidR="009E791D">
        <w:t>Lakehouse</w:t>
      </w:r>
      <w:r>
        <w:t xml:space="preserve"> copy and keeps data in-tenant, aligned to SAP and enterprise data-access policies. No vendor lock-in.</w:t>
      </w:r>
    </w:p>
    <w:p w14:paraId="764222E9" w14:textId="24FD1B9C" w:rsidR="00750419" w:rsidRDefault="00000000">
      <w:pPr>
        <w:spacing w:after="70"/>
      </w:pPr>
      <w:r>
        <w:rPr>
          <w:b/>
          <w:bCs/>
          <w:color w:val="1F3556"/>
        </w:rPr>
        <w:t xml:space="preserve">Governed and explainable — </w:t>
      </w:r>
      <w:r>
        <w:t xml:space="preserve">every decision </w:t>
      </w:r>
      <w:r w:rsidR="009E791D">
        <w:t>carry</w:t>
      </w:r>
      <w:r>
        <w:t xml:space="preserve"> confidence, attribution and a plain-English rationale; autonomy and value thresholds route exceptions to humans; one unified audit trail.</w:t>
      </w:r>
    </w:p>
    <w:p w14:paraId="62424E83" w14:textId="77777777" w:rsidR="00750419" w:rsidRDefault="00000000">
      <w:pPr>
        <w:spacing w:after="70"/>
      </w:pPr>
      <w:r>
        <w:rPr>
          <w:b/>
          <w:bCs/>
          <w:color w:val="1F3556"/>
        </w:rPr>
        <w:t xml:space="preserve">Breadth with depth — </w:t>
      </w:r>
      <w:r>
        <w:t>32 supply-chain use cases aligned to the SAP IBP module set — demand, inventory/MEIO, DDR/DDMRP, MRO, response &amp; supply, synchronized planning, control tower and sustainability — each runnable on the shared runtime.</w:t>
      </w:r>
    </w:p>
    <w:p w14:paraId="24CAD9D3" w14:textId="77777777" w:rsidR="00750419" w:rsidRDefault="00000000">
      <w:pPr>
        <w:spacing w:before="110" w:after="40"/>
      </w:pPr>
      <w:r>
        <w:rPr>
          <w:rFonts w:ascii="Cambria" w:eastAsia="Cambria" w:hAnsi="Cambria" w:cs="Cambria"/>
          <w:b/>
          <w:bCs/>
          <w:color w:val="0C7C6F"/>
          <w:sz w:val="23"/>
          <w:szCs w:val="23"/>
        </w:rPr>
        <w:t xml:space="preserve">Architecture </w:t>
      </w:r>
      <w:proofErr w:type="gramStart"/>
      <w:r>
        <w:rPr>
          <w:rFonts w:ascii="Cambria" w:eastAsia="Cambria" w:hAnsi="Cambria" w:cs="Cambria"/>
          <w:b/>
          <w:bCs/>
          <w:color w:val="0C7C6F"/>
          <w:sz w:val="23"/>
          <w:szCs w:val="23"/>
        </w:rPr>
        <w:t>at a glance</w:t>
      </w:r>
      <w:proofErr w:type="gramEnd"/>
    </w:p>
    <w:p w14:paraId="15132C27" w14:textId="77777777" w:rsidR="00750419" w:rsidRDefault="00000000">
      <w:pPr>
        <w:spacing w:after="70"/>
      </w:pPr>
      <w:r>
        <w:t xml:space="preserve">Experience surfaces → an Agent Foundry (build, convert, compose, or install from a curated marketplace) → one shared cognitive runtime (seven layers built once, with thin domain tool-packs) → a canonical ontology with a persisted graph store → governed, read-only connectors to Databricks, Snowflake, </w:t>
      </w:r>
      <w:proofErr w:type="spellStart"/>
      <w:r>
        <w:t>BigQuery</w:t>
      </w:r>
      <w:proofErr w:type="spellEnd"/>
      <w:r>
        <w:t xml:space="preserve"> and SAP-compliant </w:t>
      </w:r>
      <w:proofErr w:type="spellStart"/>
      <w:r>
        <w:t>lakehouses</w:t>
      </w:r>
      <w:proofErr w:type="spellEnd"/>
      <w:r>
        <w:t>. A model-neutral router optimizes cost across providers. Implementation mechanisms and the semantic library are proprietary and shared separately under NDA.</w:t>
      </w:r>
    </w:p>
    <w:p w14:paraId="1B9185FF" w14:textId="77777777" w:rsidR="00750419" w:rsidRDefault="00000000">
      <w:pPr>
        <w:spacing w:before="110" w:after="40"/>
      </w:pPr>
      <w:r>
        <w:rPr>
          <w:rFonts w:ascii="Cambria" w:eastAsia="Cambria" w:hAnsi="Cambria" w:cs="Cambria"/>
          <w:b/>
          <w:bCs/>
          <w:color w:val="0C7C6F"/>
          <w:sz w:val="23"/>
          <w:szCs w:val="23"/>
        </w:rPr>
        <w:t>A catalyst for Bristlecone</w:t>
      </w:r>
    </w:p>
    <w:p w14:paraId="38CE5976" w14:textId="77777777" w:rsidR="00750419" w:rsidRDefault="00000000">
      <w:pPr>
        <w:spacing w:after="70"/>
      </w:pPr>
      <w:r>
        <w:t>UNAI converts Bristlecone's deep supply-chain expertise into a productized, defensible platform. It accelerates client delivery — reusing the runtime, ontology and packs instead of bespoke builds — lifts delivery margins, and positions Bristlecone as an AI-led supply-chain leader with proprietary IP, not a services-only provider.</w:t>
      </w:r>
    </w:p>
    <w:p w14:paraId="5F4AC4D4" w14:textId="77777777" w:rsidR="00750419" w:rsidRDefault="00000000">
      <w:pPr>
        <w:spacing w:before="110" w:after="40"/>
      </w:pPr>
      <w:r>
        <w:rPr>
          <w:rFonts w:ascii="Cambria" w:eastAsia="Cambria" w:hAnsi="Cambria" w:cs="Cambria"/>
          <w:b/>
          <w:bCs/>
          <w:color w:val="0C7C6F"/>
          <w:sz w:val="23"/>
          <w:szCs w:val="23"/>
        </w:rPr>
        <w:t>A catalyst for Mahindra &amp; Mahindra</w:t>
      </w:r>
    </w:p>
    <w:p w14:paraId="526DE55C" w14:textId="77777777" w:rsidR="00750419" w:rsidRDefault="00000000">
      <w:pPr>
        <w:spacing w:after="70"/>
      </w:pPr>
      <w:r>
        <w:t>For Mahindra, UNAI is a Group-owned, differentiated agentic platform for its supply-chain-intensive businesses. It is a fast, low-risk on-ramp to agentic AI — governed, SAP-compliant, and free of model or cloud lock-in — with measured cost control and days-to-value onboarding. It scales across Mahindra's own operations and can be taken to market as a Group differentiator, turning internal adoption into external advantage.</w:t>
      </w:r>
    </w:p>
    <w:p w14:paraId="5D04ED49" w14:textId="77777777" w:rsidR="00750419" w:rsidRDefault="00000000">
      <w:pPr>
        <w:spacing w:before="110" w:after="40"/>
      </w:pPr>
      <w:r>
        <w:rPr>
          <w:rFonts w:ascii="Cambria" w:eastAsia="Cambria" w:hAnsi="Cambria" w:cs="Cambria"/>
          <w:b/>
          <w:bCs/>
          <w:color w:val="0C7C6F"/>
          <w:sz w:val="23"/>
          <w:szCs w:val="23"/>
        </w:rPr>
        <w:t>What we are asking</w:t>
      </w:r>
    </w:p>
    <w:p w14:paraId="210FF4D2" w14:textId="77777777" w:rsidR="00750419" w:rsidRDefault="00000000">
      <w:pPr>
        <w:spacing w:after="70"/>
      </w:pPr>
      <w:r>
        <w:t>Your review and endorsement of UNAI as a differentiated, enterprise-grade agentic architecture, and sponsorship of a scoped design-partner pilot on a live Mahindra supply-chain use case to prove measured value in the environment.</w:t>
      </w:r>
    </w:p>
    <w:p w14:paraId="7C2FD3F5" w14:textId="77777777" w:rsidR="00750419" w:rsidRDefault="00750419">
      <w:pPr>
        <w:pBdr>
          <w:top w:val="single" w:sz="8" w:space="0" w:color="C9D2DE"/>
        </w:pBdr>
        <w:spacing w:before="90" w:after="30"/>
      </w:pPr>
    </w:p>
    <w:p w14:paraId="51E35CA2" w14:textId="77777777" w:rsidR="00750419" w:rsidRDefault="00000000">
      <w:r>
        <w:rPr>
          <w:b/>
          <w:bCs/>
          <w:color w:val="9A3B2E"/>
          <w:sz w:val="17"/>
          <w:szCs w:val="17"/>
        </w:rPr>
        <w:t xml:space="preserve">Proprietary &amp; Confidential — Bristlecone. </w:t>
      </w:r>
      <w:r>
        <w:rPr>
          <w:i/>
          <w:iCs/>
          <w:color w:val="5A6472"/>
          <w:sz w:val="17"/>
          <w:szCs w:val="17"/>
        </w:rPr>
        <w:t>Prepared for architecture review by Mahindra &amp; Mahindra. Intentionally high-level: detailed architecture, algorithms and the semantic library are disclosed only under NDA. Figures and claims are directional and validated per engagement.</w:t>
      </w:r>
    </w:p>
    <w:sectPr w:rsidR="00750419">
      <w:pgSz w:w="12240" w:h="15840"/>
      <w:pgMar w:top="760" w:right="900" w:bottom="6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84752"/>
    <w:multiLevelType w:val="hybridMultilevel"/>
    <w:tmpl w:val="B1D27AD2"/>
    <w:lvl w:ilvl="0" w:tplc="30D6D978">
      <w:start w:val="1"/>
      <w:numFmt w:val="bullet"/>
      <w:lvlText w:val="●"/>
      <w:lvlJc w:val="left"/>
      <w:pPr>
        <w:ind w:left="720" w:hanging="360"/>
      </w:pPr>
    </w:lvl>
    <w:lvl w:ilvl="1" w:tplc="89D427FE">
      <w:start w:val="1"/>
      <w:numFmt w:val="bullet"/>
      <w:lvlText w:val="○"/>
      <w:lvlJc w:val="left"/>
      <w:pPr>
        <w:ind w:left="1440" w:hanging="360"/>
      </w:pPr>
    </w:lvl>
    <w:lvl w:ilvl="2" w:tplc="B9DE07D8">
      <w:start w:val="1"/>
      <w:numFmt w:val="bullet"/>
      <w:lvlText w:val="■"/>
      <w:lvlJc w:val="left"/>
      <w:pPr>
        <w:ind w:left="2160" w:hanging="360"/>
      </w:pPr>
    </w:lvl>
    <w:lvl w:ilvl="3" w:tplc="58C4C710">
      <w:start w:val="1"/>
      <w:numFmt w:val="bullet"/>
      <w:lvlText w:val="●"/>
      <w:lvlJc w:val="left"/>
      <w:pPr>
        <w:ind w:left="2880" w:hanging="360"/>
      </w:pPr>
    </w:lvl>
    <w:lvl w:ilvl="4" w:tplc="678CE3BE">
      <w:start w:val="1"/>
      <w:numFmt w:val="bullet"/>
      <w:lvlText w:val="○"/>
      <w:lvlJc w:val="left"/>
      <w:pPr>
        <w:ind w:left="3600" w:hanging="360"/>
      </w:pPr>
    </w:lvl>
    <w:lvl w:ilvl="5" w:tplc="A1A6C46E">
      <w:start w:val="1"/>
      <w:numFmt w:val="bullet"/>
      <w:lvlText w:val="■"/>
      <w:lvlJc w:val="left"/>
      <w:pPr>
        <w:ind w:left="4320" w:hanging="360"/>
      </w:pPr>
    </w:lvl>
    <w:lvl w:ilvl="6" w:tplc="66682EA8">
      <w:start w:val="1"/>
      <w:numFmt w:val="bullet"/>
      <w:lvlText w:val="●"/>
      <w:lvlJc w:val="left"/>
      <w:pPr>
        <w:ind w:left="5040" w:hanging="360"/>
      </w:pPr>
    </w:lvl>
    <w:lvl w:ilvl="7" w:tplc="4D481910">
      <w:start w:val="1"/>
      <w:numFmt w:val="bullet"/>
      <w:lvlText w:val="●"/>
      <w:lvlJc w:val="left"/>
      <w:pPr>
        <w:ind w:left="5760" w:hanging="360"/>
      </w:pPr>
    </w:lvl>
    <w:lvl w:ilvl="8" w:tplc="C45ED856">
      <w:start w:val="1"/>
      <w:numFmt w:val="bullet"/>
      <w:lvlText w:val="●"/>
      <w:lvlJc w:val="left"/>
      <w:pPr>
        <w:ind w:left="6480" w:hanging="360"/>
      </w:pPr>
    </w:lvl>
  </w:abstractNum>
  <w:num w:numId="1" w16cid:durableId="638996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419"/>
    <w:rsid w:val="0071193E"/>
    <w:rsid w:val="00750419"/>
    <w:rsid w:val="009E791D"/>
    <w:rsid w:val="00B37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C9E038"/>
  <w15:docId w15:val="{2E1BAB97-DC5C-7A4B-B50C-DD1F4082F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733"/>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Ravin Angara</cp:lastModifiedBy>
  <cp:revision>2</cp:revision>
  <dcterms:created xsi:type="dcterms:W3CDTF">2026-08-03T14:49:00Z</dcterms:created>
  <dcterms:modified xsi:type="dcterms:W3CDTF">2026-08-03T15:21:00Z</dcterms:modified>
</cp:coreProperties>
</file>