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0F9D8C"/>
          <w:sz w:val="20"/>
          <w:szCs w:val="20"/>
        </w:rPr>
        <w:t xml:space="preserve">UNAI POSITIONING BRIEF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3556"/>
          <w:sz w:val="38"/>
          <w:szCs w:val="38"/>
        </w:rPr>
        <w:t xml:space="preserve">Consolidation, not coordination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A6472"/>
          <w:sz w:val="20"/>
          <w:szCs w:val="20"/>
        </w:rPr>
        <w:t xml:space="preserve">How UNAI is differentiated in the emerging “shared-cognition” category — an honest read for technical buyers.</w:t>
      </w:r>
    </w:p>
    <w:p>
      <w:pPr>
        <w:pBdr>
          <w:bottom w:val="single" w:color="0F9D8C" w:sz="12"/>
        </w:pBdr>
        <w:spacing w:after="120"/>
      </w:pPr>
    </w:p>
    <w:p>
      <w:pPr>
        <w:spacing w:after="40"/>
      </w:pPr>
      <w:r>
        <w:rPr>
          <w:rFonts w:ascii="Calibri" w:cs="Calibri" w:eastAsia="Calibri" w:hAnsi="Calibri"/>
          <w:b/>
          <w:bCs/>
          <w:color w:val="1F3556"/>
          <w:sz w:val="23"/>
          <w:szCs w:val="23"/>
        </w:rPr>
        <w:t xml:space="preserve">The honest landscape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The core idea — let agents share cognition instead of re-passing transcripts — is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not unique</w:t>
      </w:r>
      <w:r>
        <w:rPr>
          <w:rFonts w:ascii="Calibri" w:cs="Calibri" w:eastAsia="Calibri" w:hAnsi="Calibri"/>
          <w:sz w:val="20"/>
          <w:szCs w:val="20"/>
        </w:rPr>
        <w:t xml:space="preserve">. It is the hottest theme in agentic AI, and it is well-funded prior art. Cisco Outshift’s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“Internet of Cognition”</w:t>
      </w:r>
      <w:r>
        <w:rPr>
          <w:rFonts w:ascii="Calibri" w:cs="Calibri" w:eastAsia="Calibri" w:hAnsi="Calibri"/>
          <w:sz w:val="20"/>
          <w:szCs w:val="20"/>
        </w:rPr>
        <w:t xml:space="preserve"> describes a policy-governed Cognition Fabric of persistent context graphs that lets agents “think together” — essentially UNAI’s thesis. The shared-workspace mechanism itself is 40-year-old </w:t>
      </w:r>
      <w:r>
        <w:rPr>
          <w:rFonts w:ascii="Calibri" w:cs="Calibri" w:eastAsia="Calibri" w:hAnsi="Calibri"/>
          <w:sz w:val="20"/>
          <w:szCs w:val="20"/>
        </w:rPr>
        <w:t xml:space="preserve">blackboard architecture</w:t>
      </w:r>
      <w:r>
        <w:rPr>
          <w:rFonts w:ascii="Calibri" w:cs="Calibri" w:eastAsia="Calibri" w:hAnsi="Calibri"/>
          <w:sz w:val="20"/>
          <w:szCs w:val="20"/>
        </w:rPr>
        <w:t xml:space="preserve"> (Hearsay-II, SOAR), now revived for LLMs. Claiming the concept as novel to a knowledgeable buyer costs credibility. Claiming the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specific bet, substrate, and domain</w:t>
      </w:r>
      <w:r>
        <w:rPr>
          <w:rFonts w:ascii="Calibri" w:cs="Calibri" w:eastAsia="Calibri" w:hAnsi="Calibri"/>
          <w:sz w:val="20"/>
          <w:szCs w:val="20"/>
        </w:rPr>
        <w:t xml:space="preserve"> is differentiated holds up.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556"/>
          <w:sz w:val="23"/>
          <w:szCs w:val="23"/>
        </w:rPr>
        <w:t xml:space="preserve">UNAI vs. the cognitive-fabric field</w:t>
      </w:r>
    </w:p>
    <w:tbl>
      <w:tblPr>
        <w:tblW w:type="dxa" w:w="9450"/>
        <w:tblBorders>
          <w:top w:val="single" w:color="C9D2DE" w:sz="4"/>
          <w:left w:val="single" w:color="C9D2DE" w:sz="4"/>
          <w:bottom w:val="single" w:color="C9D2DE" w:sz="4"/>
          <w:right w:val="single" w:color="C9D2DE" w:sz="4"/>
          <w:insideH w:val="single" w:color="C9D2DE" w:sz="4"/>
          <w:insideV w:val="single" w:color="C9D2DE" w:sz="4"/>
        </w:tblBorders>
      </w:tblPr>
      <w:tblGrid>
        <w:gridCol w:w="2350"/>
        <w:gridCol w:w="3550"/>
        <w:gridCol w:w="3550"/>
      </w:tblGrid>
      <w:tr>
        <w:trPr>
          <w:tblHeader/>
        </w:trPr>
        <w:tc>
          <w:tcPr>
            <w:tcW w:type="dxa" w:w="2350"/>
            <w:shd w:fill="1F355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3550"/>
            <w:shd w:fill="1F355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The field (Cisco Outshift, blackboard revival, DeLM)</w:t>
            </w:r>
          </w:p>
        </w:tc>
        <w:tc>
          <w:tcPr>
            <w:tcW w:type="dxa" w:w="3550"/>
            <w:shd w:fill="1F355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UNAI</w:t>
            </w:r>
          </w:p>
        </w:tc>
      </w:tr>
      <w:tr>
        <w:tc>
          <w:tcPr>
            <w:tcW w:type="dxa" w:w="235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Core bet</w:t>
            </w:r>
          </w:p>
        </w:tc>
        <w:tc>
          <w:tcPr>
            <w:tcW w:type="dxa" w:w="355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Keep N cognitive agents; coordinate them better via a shared fabric.</w:t>
            </w:r>
          </w:p>
        </w:tc>
        <w:tc>
          <w:tcPr>
            <w:tcW w:type="dxa" w:w="355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9D8C"/>
                <w:sz w:val="18"/>
                <w:szCs w:val="18"/>
              </w:rPr>
              <w:t xml:space="preserve">Consolidate: build cognition once (ontology + plan); attach thin executors. Fewer stacks, not better-coordinated ones.</w:t>
            </w:r>
          </w:p>
        </w:tc>
      </w:tr>
      <w:tr>
        <w:tc>
          <w:tcPr>
            <w:tcW w:type="dxa" w:w="23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Shared substrate</w:t>
            </w:r>
          </w:p>
        </w:tc>
        <w:tc>
          <w:tcPr>
            <w:tcW w:type="dxa" w:w="35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Vector “gists” / belief states; code- and task-agent oriented.</w:t>
            </w:r>
          </w:p>
        </w:tc>
        <w:tc>
          <w:tcPr>
            <w:tcW w:type="dxa" w:w="35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Symbolic canonical ontology mapped to systems of record (SAP, Salesforce, warehouses), persisted as a graph.</w:t>
            </w:r>
          </w:p>
        </w:tc>
      </w:tr>
      <w:tr>
        <w:tc>
          <w:tcPr>
            <w:tcW w:type="dxa" w:w="235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Primary value</w:t>
            </w:r>
          </w:p>
        </w:tc>
        <w:tc>
          <w:tcPr>
            <w:tcW w:type="dxa" w:w="355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Coherence &amp; quality of multi-agent reasoning.</w:t>
            </w:r>
          </w:p>
        </w:tc>
        <w:tc>
          <w:tcPr>
            <w:tcW w:type="dxa" w:w="355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Cost as the headline — token economics (S+N vs N×S), and measured, not modeled.</w:t>
            </w:r>
          </w:p>
        </w:tc>
      </w:tr>
      <w:tr>
        <w:tc>
          <w:tcPr>
            <w:tcW w:type="dxa" w:w="23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Governance</w:t>
            </w:r>
          </w:p>
        </w:tc>
        <w:tc>
          <w:tcPr>
            <w:tcW w:type="dxa" w:w="35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Policy-governed sharing (provenance, versioning).</w:t>
            </w:r>
          </w:p>
        </w:tc>
        <w:tc>
          <w:tcPr>
            <w:tcW w:type="dxa" w:w="35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Governance + explainability as first-class layers: autonomy thresholds, value limits, evidence.</w:t>
            </w:r>
          </w:p>
        </w:tc>
      </w:tr>
      <w:tr>
        <w:tc>
          <w:tcPr>
            <w:tcW w:type="dxa" w:w="235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Scope</w:t>
            </w:r>
          </w:p>
        </w:tc>
        <w:tc>
          <w:tcPr>
            <w:tcW w:type="dxa" w:w="355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Horizontal infrastructure — “an internet of cognition for everyone.”</w:t>
            </w:r>
          </w:p>
        </w:tc>
        <w:tc>
          <w:tcPr>
            <w:tcW w:type="dxa" w:w="355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9D8C"/>
                <w:sz w:val="18"/>
                <w:szCs w:val="18"/>
              </w:rPr>
              <w:t xml:space="preserve">Vertical, cost-optimized runtime for enterprise supply chain; warehouse- and model-neutral.</w:t>
            </w:r>
          </w:p>
        </w:tc>
      </w:tr>
    </w:tbl>
    <w:p>
      <w:pPr>
        <w:spacing w:after="120"/>
      </w:pPr>
    </w:p>
    <w:p>
      <w:pPr>
        <w:spacing w:after="50"/>
      </w:pPr>
      <w:r>
        <w:rPr>
          <w:rFonts w:ascii="Calibri" w:cs="Calibri" w:eastAsia="Calibri" w:hAnsi="Calibri"/>
          <w:b/>
          <w:bCs/>
          <w:color w:val="1F3556"/>
          <w:sz w:val="23"/>
          <w:szCs w:val="23"/>
        </w:rPr>
        <w:t xml:space="preserve">What we actually claim (and can defend)</w:t>
      </w:r>
    </w:p>
    <w:p>
      <w:pPr>
        <w:spacing w:after="60"/>
        <w:jc w:val="both"/>
      </w:pPr>
      <w:r>
        <w:rPr>
          <w:rFonts w:ascii="Calibri" w:cs="Calibri" w:eastAsia="Calibri" w:hAnsi="Calibri"/>
          <w:b/>
          <w:bCs/>
          <w:color w:val="0F9D8C"/>
          <w:sz w:val="20"/>
          <w:szCs w:val="20"/>
        </w:rPr>
        <w:t xml:space="preserve">1.  Consolidation is the mechanism; optimization is the outcome.  </w:t>
      </w:r>
      <w:r>
        <w:rPr>
          <w:rFonts w:ascii="Calibri" w:cs="Calibri" w:eastAsia="Calibri" w:hAnsi="Calibri"/>
          <w:sz w:val="20"/>
          <w:szCs w:val="20"/>
        </w:rPr>
        <w:t xml:space="preserve">The architectural bet is collapsing N cognitive stacks into one shared runtime. The token/cost saving is what that produces — and we instrument it, so it’s a measured result, not a claim.</w:t>
      </w:r>
    </w:p>
    <w:p>
      <w:pPr>
        <w:spacing w:after="60"/>
        <w:jc w:val="both"/>
      </w:pPr>
      <w:r>
        <w:rPr>
          <w:rFonts w:ascii="Calibri" w:cs="Calibri" w:eastAsia="Calibri" w:hAnsi="Calibri"/>
          <w:b/>
          <w:bCs/>
          <w:color w:val="0F9D8C"/>
          <w:sz w:val="20"/>
          <w:szCs w:val="20"/>
        </w:rPr>
        <w:t xml:space="preserve">2.  Ontology-first, bound to systems of record.  </w:t>
      </w:r>
      <w:r>
        <w:rPr>
          <w:rFonts w:ascii="Calibri" w:cs="Calibri" w:eastAsia="Calibri" w:hAnsi="Calibri"/>
          <w:sz w:val="20"/>
          <w:szCs w:val="20"/>
        </w:rPr>
        <w:t xml:space="preserve">A canonical symbolic ontology tied to SAP / Salesforce / warehouses and persisted as a graph — a semantic-layer, data-integration angle the general fabrics don’t occupy.</w:t>
      </w:r>
    </w:p>
    <w:p>
      <w:pPr>
        <w:spacing w:after="60"/>
        <w:jc w:val="both"/>
      </w:pPr>
      <w:r>
        <w:rPr>
          <w:rFonts w:ascii="Calibri" w:cs="Calibri" w:eastAsia="Calibri" w:hAnsi="Calibri"/>
          <w:b/>
          <w:bCs/>
          <w:color w:val="0F9D8C"/>
          <w:sz w:val="20"/>
          <w:szCs w:val="20"/>
        </w:rPr>
        <w:t xml:space="preserve">3.  Cost is the product, and it’s measurable.  </w:t>
      </w:r>
      <w:r>
        <w:rPr>
          <w:rFonts w:ascii="Calibri" w:cs="Calibri" w:eastAsia="Calibri" w:hAnsi="Calibri"/>
          <w:sz w:val="20"/>
          <w:szCs w:val="20"/>
        </w:rPr>
        <w:t xml:space="preserve">S+N vs N×S, progressive disclosure, prompt caching, FinOps — with live token/cache meters. Others motivate sharing for quality; we lead with the bill.</w:t>
      </w:r>
    </w:p>
    <w:p>
      <w:pPr>
        <w:spacing w:after="60"/>
        <w:jc w:val="both"/>
      </w:pPr>
      <w:r>
        <w:rPr>
          <w:rFonts w:ascii="Calibri" w:cs="Calibri" w:eastAsia="Calibri" w:hAnsi="Calibri"/>
          <w:b/>
          <w:bCs/>
          <w:color w:val="0F9D8C"/>
          <w:sz w:val="20"/>
          <w:szCs w:val="20"/>
        </w:rPr>
        <w:t xml:space="preserve">4.  Governance &amp; explainability built in; neutral by design.  </w:t>
      </w:r>
      <w:r>
        <w:rPr>
          <w:rFonts w:ascii="Calibri" w:cs="Calibri" w:eastAsia="Calibri" w:hAnsi="Calibri"/>
          <w:sz w:val="20"/>
          <w:szCs w:val="20"/>
        </w:rPr>
        <w:t xml:space="preserve">Autonomy thresholds, value limits, and evidence as layers, plus warehouse- and model-neutrality and SAP-2026 compliance posture.</w:t>
      </w:r>
    </w:p>
    <w:p>
      <w:pPr>
        <w:pBdr>
          <w:top w:val="single" w:color="C9D2DE" w:sz="8"/>
        </w:pBdr>
        <w:spacing w:after="60" w:before="80"/>
      </w:pPr>
    </w:p>
    <w:p>
      <w:pPr>
        <w:spacing w:after="40"/>
        <w:jc w:val="both"/>
      </w:pPr>
      <w:r>
        <w:rPr>
          <w:rFonts w:ascii="Calibri" w:cs="Calibri" w:eastAsia="Calibri" w:hAnsi="Calibri"/>
          <w:b/>
          <w:bCs/>
          <w:color w:val="1F3556"/>
          <w:sz w:val="20"/>
          <w:szCs w:val="20"/>
        </w:rPr>
        <w:t xml:space="preserve">Positioning line:  </w:t>
      </w:r>
      <w:r>
        <w:rPr>
          <w:rFonts w:ascii="Calibri" w:cs="Calibri" w:eastAsia="Calibri" w:hAnsi="Calibri"/>
          <w:sz w:val="20"/>
          <w:szCs w:val="20"/>
        </w:rPr>
        <w:t xml:space="preserve">Cisco is building horizontal infrastructure for cognition everywhere. UNAI is a vertical, ontology-driven runtime that </w:t>
      </w:r>
      <w:r>
        <w:rPr>
          <w:rFonts w:ascii="Calibri" w:cs="Calibri" w:eastAsia="Calibri" w:hAnsi="Calibri"/>
          <w:b/>
          <w:bCs/>
          <w:i/>
          <w:iCs/>
          <w:color w:val="0F9D8C"/>
          <w:sz w:val="20"/>
          <w:szCs w:val="20"/>
        </w:rPr>
        <w:t xml:space="preserve">consolidates</w:t>
      </w:r>
      <w:r>
        <w:rPr>
          <w:rFonts w:ascii="Calibri" w:cs="Calibri" w:eastAsia="Calibri" w:hAnsi="Calibri"/>
          <w:sz w:val="20"/>
          <w:szCs w:val="20"/>
        </w:rPr>
        <w:t xml:space="preserve"> enterprise supply-chain agents into one cognitive runtime — with the token savings measured, not asserted.</w:t>
      </w:r>
    </w:p>
    <w:p>
      <w:pPr>
        <w:spacing w:after="0"/>
        <w:jc w:val="both"/>
      </w:pPr>
      <w:r>
        <w:rPr>
          <w:rFonts w:ascii="Calibri" w:cs="Calibri" w:eastAsia="Calibri" w:hAnsi="Calibri"/>
          <w:b/>
          <w:bCs/>
          <w:color w:val="9A3B2E"/>
          <w:sz w:val="18"/>
          <w:szCs w:val="18"/>
        </w:rPr>
        <w:t xml:space="preserve">Caution:  </w:t>
      </w:r>
      <w:r>
        <w:rPr>
          <w:rFonts w:ascii="Calibri" w:cs="Calibri" w:eastAsia="Calibri" w:hAnsi="Calibri"/>
          <w:i/>
          <w:iCs/>
          <w:color w:val="5A6472"/>
          <w:sz w:val="18"/>
          <w:szCs w:val="18"/>
        </w:rPr>
        <w:t xml:space="preserve">Cisco Outshift is verified prior art. A few sources floating around this space (specific arXiv IDs, a “TITAN federated cognitive OS” community post) are unverified — confirm independently before citing in any client deck.</w:t>
      </w:r>
    </w:p>
    <w:sectPr>
      <w:pgSz w:w="12240" w:h="15840" w:orient="portrait"/>
      <w:pgMar w:top="62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2026-07-31T21:16:59.531Z</dcterms:created>
  <dcterms:modified xsi:type="dcterms:W3CDTF">2026-07-31T21:16:59.531Z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