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</w:pPr>
      <w:r>
        <w:rPr>
          <w:rFonts w:ascii="Calibri" w:cs="Calibri" w:eastAsia="Calibri" w:hAnsi="Calibri"/>
          <w:b/>
          <w:bCs/>
          <w:color w:val="0C7C6F"/>
          <w:sz w:val="18"/>
          <w:szCs w:val="18"/>
        </w:rPr>
        <w:t xml:space="preserve">UNAI STUDIO · UNIVERSAL AGENTIC RUNTIME</w:t>
      </w:r>
    </w:p>
    <w:p>
      <w:pPr>
        <w:spacing w:after="12"/>
      </w:pPr>
      <w:r>
        <w:rPr>
          <w:rFonts w:ascii="Cambria" w:cs="Cambria" w:eastAsia="Cambria" w:hAnsi="Cambria"/>
          <w:b/>
          <w:bCs/>
          <w:color w:val="1F3556"/>
          <w:sz w:val="32"/>
          <w:szCs w:val="32"/>
        </w:rPr>
        <w:t xml:space="preserve">One supply-chain brain. Built once, learns forever, runs anywhere.</w:t>
      </w:r>
    </w:p>
    <w:p>
      <w:pPr>
        <w:pBdr>
          <w:bottom w:val="single" w:color="0C7C6F" w:sz="12"/>
        </w:pBdr>
        <w:spacing w:after="84"/>
      </w:pP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UNAI Studio is a supply-chain-native agentic AI platform. Instead of building a separate AI agent for every task — each re-implementing perception, memory, reasoning, evidence, action, collaboration and explainability — UNAI builds that cognition once and runs many lightweight, domain-specific agents on top. It is proven today in a working application, and Bristlecone has a portfolio of ~175 agents across 20 domains (built for customers) as a ready pipeline to onboard onto the runtime.</w:t>
      </w:r>
    </w:p>
    <w:p>
      <w:pPr>
        <w:spacing w:after="34" w:before="100"/>
      </w:pPr>
      <w:r>
        <w:rPr>
          <w:rFonts w:ascii="Cambria" w:cs="Cambria" w:eastAsia="Cambria" w:hAnsi="Cambria"/>
          <w:b/>
          <w:bCs/>
          <w:color w:val="0C7C6F"/>
          <w:sz w:val="22"/>
          <w:szCs w:val="22"/>
        </w:rPr>
        <w:t xml:space="preserve">Why — the problem it removes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Enterprises are adopting agentic AI fast, but the first-generation “one agent per task” approach multiplies cost, sprawl and governance risk — 90% of CIOs can't forecast their AI spend. And a services firm's deep supply-chain expertise stays trapped in bespoke projects instead of a compounding, ownable asset.</w:t>
      </w:r>
    </w:p>
    <w:p>
      <w:pPr>
        <w:spacing w:after="34" w:before="100"/>
      </w:pPr>
      <w:r>
        <w:rPr>
          <w:rFonts w:ascii="Cambria" w:cs="Cambria" w:eastAsia="Cambria" w:hAnsi="Cambria"/>
          <w:b/>
          <w:bCs/>
          <w:color w:val="0C7C6F"/>
          <w:sz w:val="22"/>
          <w:szCs w:val="22"/>
        </w:rPr>
        <w:t xml:space="preserve">What — the platform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One shared cognitive runtime + a canonical ontology that maps every system's fields into one business language + a library of 32 supply-chain use cases. Teams Build, Convert (existing LangGraph / CrewAI / Assistants agents), or Compose agents on the runtime — behaviour is configuration, not new code.</w:t>
      </w:r>
    </w:p>
    <w:p>
      <w:pPr>
        <w:spacing w:after="34" w:before="100"/>
      </w:pPr>
      <w:r>
        <w:rPr>
          <w:rFonts w:ascii="Cambria" w:cs="Cambria" w:eastAsia="Cambria" w:hAnsi="Cambria"/>
          <w:b/>
          <w:bCs/>
          <w:color w:val="0C7C6F"/>
          <w:sz w:val="22"/>
          <w:szCs w:val="22"/>
        </w:rPr>
        <w:t xml:space="preserve">How — the mechanics that matter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Consolidation, not orchestration: build the expensive 90% once and reuse it. The platform runs in-tenant on the customer's own cloud (Snowflake, Databricks, BigQuery, SAP-compliant lakehouse), is model-, cloud- and warehouse-neutral, and is governed and explainable — every decision carries confidence, attribution and an audit trail. New systems onboard in days, not months.</w:t>
      </w:r>
    </w:p>
    <w:p>
      <w:pPr>
        <w:spacing w:after="34" w:before="100"/>
      </w:pPr>
      <w:r>
        <w:rPr>
          <w:rFonts w:ascii="Cambria" w:cs="Cambria" w:eastAsia="Cambria" w:hAnsi="Cambria"/>
          <w:b/>
          <w:bCs/>
          <w:color w:val="0C7C6F"/>
          <w:sz w:val="22"/>
          <w:szCs w:val="22"/>
        </w:rPr>
        <w:t xml:space="preserve">The value it brings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~50% lower AI cost, measured head-to-head — turning unpredictable per-agent bills into predictable, consolidated spend. Days-to-value onboarding, one governed platform for every supply-chain use case, data that never leaves the tenant, and 30–40% less delivery effort on engagements that reuse the runtime.</w:t>
      </w:r>
    </w:p>
    <w:p>
      <w:pPr>
        <w:spacing w:after="34" w:before="100"/>
      </w:pPr>
      <w:r>
        <w:rPr>
          <w:rFonts w:ascii="Cambria" w:cs="Cambria" w:eastAsia="Cambria" w:hAnsi="Cambria"/>
          <w:b/>
          <w:bCs/>
          <w:color w:val="0C7C6F"/>
          <w:sz w:val="22"/>
          <w:szCs w:val="22"/>
        </w:rPr>
        <w:t xml:space="preserve">Why it's different — the wedge no one else has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556"/>
          <w:sz w:val="18"/>
          <w:szCs w:val="18"/>
        </w:rPr>
        <w:t xml:space="preserve">A learning ontology flywheel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every deployment teaches the ontology, so onboarding gets faster and cheaper each time. Horizontal platforms can't spin a supply-chain-specific flywheel.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556"/>
          <w:sz w:val="18"/>
          <w:szCs w:val="18"/>
        </w:rPr>
        <w:t xml:space="preserve">A vertical, not a toolkit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not one agent and not a framework — a complete agentic supply-chain architecture with 32 use cases live, plus a ~175-agent portfolio ready to convert.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556"/>
          <w:sz w:val="18"/>
          <w:szCs w:val="18"/>
        </w:rPr>
        <w:t xml:space="preserve">Runs where the data is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in-tenant, neutral, SAP-compliant — no lock-in, no data movement.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556"/>
          <w:sz w:val="18"/>
          <w:szCs w:val="18"/>
        </w:rPr>
        <w:t xml:space="preserve">Proof, not promises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a working app and measured savings today; a ready pipeline to onboard next.</w:t>
      </w:r>
    </w:p>
    <w:p>
      <w:pPr>
        <w:spacing w:after="34" w:before="100"/>
      </w:pPr>
      <w:r>
        <w:rPr>
          <w:rFonts w:ascii="Cambria" w:cs="Cambria" w:eastAsia="Cambria" w:hAnsi="Cambria"/>
          <w:b/>
          <w:bCs/>
          <w:color w:val="0C7C6F"/>
          <w:sz w:val="22"/>
          <w:szCs w:val="22"/>
        </w:rPr>
        <w:t xml:space="preserve">Why it launches Bristlecone among the leaders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UNAI Studio shifts Bristlecone from a services vendor to the pure-play supply-chain firm that OWNS the agentic runtime and a proprietary learning ontology — defensible, patentable IP. It is a category-defining position in a market Gartner sizes at $53B of agentic SCM-software spend by 2030 (a ~$16.8B agentic supply-chain opportunity), with a credible ~$95M of UNAI-attributable revenue by 2030 (upside ~$180M) built on a platform and an agent portfolio that already exist.</w:t>
      </w:r>
    </w:p>
    <w:p>
      <w:pPr>
        <w:spacing w:after="34" w:before="100"/>
      </w:pPr>
      <w:r>
        <w:rPr>
          <w:rFonts w:ascii="Cambria" w:cs="Cambria" w:eastAsia="Cambria" w:hAnsi="Cambria"/>
          <w:b/>
          <w:bCs/>
          <w:color w:val="0C7C6F"/>
          <w:sz w:val="22"/>
          <w:szCs w:val="22"/>
        </w:rPr>
        <w:t xml:space="preserve">The pitch — why each champion says yes immediately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C7C6F"/>
          <w:sz w:val="18"/>
          <w:szCs w:val="18"/>
        </w:rPr>
        <w:t xml:space="preserve">Customers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“Cut my AI spend ~50%, on my own cloud, governed — one platform for every supply-chain use case, live in days.”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C7C6F"/>
          <w:sz w:val="18"/>
          <w:szCs w:val="18"/>
        </w:rPr>
        <w:t xml:space="preserve">Cloud partners (Databricks · Snowflake · Google)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“A ready-made vertical agentic solution that drives consumption onto my platform — co-sell a suite, not a toolkit.”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C7C6F"/>
          <w:sz w:val="18"/>
          <w:szCs w:val="18"/>
        </w:rPr>
        <w:t xml:space="preserve">SAP ecosystem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“The compliant path to agents on SAP data — reads the governed lakehouse copy, gated writes. Safe for any SAP account.”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C7C6F"/>
          <w:sz w:val="18"/>
          <w:szCs w:val="18"/>
        </w:rPr>
        <w:t xml:space="preserve">Vertical champions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733"/>
          <w:sz w:val="18"/>
          <w:szCs w:val="18"/>
        </w:rPr>
        <w:t xml:space="preserve">“A ~175-agent portfolio across 20 domains to convert onto UNAI and take to accounts — a repeatable accelerator library.”</w:t>
      </w:r>
    </w:p>
    <w:p>
      <w:pPr>
        <w:pBdr>
          <w:top w:val="single" w:color="C9D2DE" w:sz="8"/>
        </w:pBdr>
        <w:spacing w:after="26" w:before="80"/>
      </w:pP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9A3B2E"/>
          <w:sz w:val="16"/>
          <w:szCs w:val="16"/>
        </w:rPr>
        <w:t xml:space="preserve">Proprietary &amp; Confidential — Bristlecone. </w:t>
      </w:r>
      <w:r>
        <w:rPr>
          <w:rFonts w:ascii="Calibri" w:cs="Calibri" w:eastAsia="Calibri" w:hAnsi="Calibri"/>
          <w:b w:val="false"/>
          <w:bCs w:val="false"/>
          <w:i/>
          <w:iCs/>
          <w:color w:val="5A6472"/>
          <w:sz w:val="16"/>
          <w:szCs w:val="16"/>
        </w:rPr>
        <w:t xml:space="preserve">Intentionally high-level; detailed architecture and the semantic library are disclosed under NDA. Agent counts are Bristlecone portfolio actuals (built for customers, not yet onboarded onto UNAI); market and revenue figures are illustrative and benchmark-anchored (Gartner, Mordor, 2026) — validate before external or contractual use.</w:t>
      </w:r>
    </w:p>
    <w:sectPr>
      <w:pgSz w:w="12240" w:h="15840" w:orient="portrait"/>
      <w:pgMar w:top="680" w:right="820" w:bottom="56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7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2026-08-08T17:02:52.747Z</dcterms:created>
  <dcterms:modified xsi:type="dcterms:W3CDTF">2026-08-08T17:02:52.747Z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