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pPr>
      <w:r>
        <w:rPr>
          <w:rFonts w:ascii="Calibri" w:cs="Calibri" w:eastAsia="Calibri" w:hAnsi="Calibri"/>
          <w:b/>
          <w:bCs/>
          <w:color w:val="0C7C6F"/>
          <w:sz w:val="17"/>
          <w:szCs w:val="17"/>
        </w:rPr>
        <w:t xml:space="preserve">PRESS RELEASE  ·  PR/FAQ (internal working document)</w:t>
      </w:r>
    </w:p>
    <w:p>
      <w:pPr>
        <w:spacing w:after="6"/>
      </w:pPr>
      <w:r>
        <w:rPr>
          <w:rFonts w:ascii="Cambria" w:cs="Cambria" w:eastAsia="Cambria" w:hAnsi="Cambria"/>
          <w:b/>
          <w:bCs/>
          <w:color w:val="1F3556"/>
          <w:sz w:val="32"/>
          <w:szCs w:val="32"/>
        </w:rPr>
        <w:t xml:space="preserve">Bristlecone launches UNAI Studio — one supply-chain brain that cuts enterprise AI cost ~50%</w:t>
      </w:r>
    </w:p>
    <w:p>
      <w:pPr>
        <w:spacing w:after="80" w:before="0"/>
      </w:pPr>
      <w:r>
        <w:rPr>
          <w:rFonts w:ascii="Calibri" w:cs="Calibri" w:eastAsia="Calibri" w:hAnsi="Calibri"/>
          <w:b w:val="false"/>
          <w:bCs w:val="false"/>
          <w:i/>
          <w:iCs/>
          <w:color w:val="5A6472"/>
          <w:sz w:val="21"/>
          <w:szCs w:val="21"/>
        </w:rPr>
        <w:t xml:space="preserve">A supply-chain-native agentic AI platform that builds the AI cognition once and runs many governed agents on top — inside the customer's own cloud, with predictable cost and days-to-value onboarding.</w:t>
      </w:r>
    </w:p>
    <w:p>
      <w:pPr>
        <w:pBdr>
          <w:bottom w:val="single" w:color="0C7C6F" w:sz="12"/>
        </w:pBdr>
        <w:spacing w:after="90"/>
      </w:pPr>
    </w:p>
    <w:p>
      <w:pPr>
        <w:spacing w:after="46" w:before="0"/>
      </w:pPr>
      <w:r>
        <w:rPr>
          <w:rFonts w:ascii="Calibri" w:cs="Calibri" w:eastAsia="Calibri" w:hAnsi="Calibri"/>
          <w:b/>
          <w:bCs/>
          <w:i w:val="false"/>
          <w:iCs w:val="false"/>
          <w:color w:val="1E2733"/>
          <w:sz w:val="17"/>
          <w:szCs w:val="17"/>
        </w:rPr>
        <w:t xml:space="preserve">SAN JOSE, Calif. — [launch date]. </w:t>
      </w:r>
      <w:r>
        <w:rPr>
          <w:rFonts w:ascii="Calibri" w:cs="Calibri" w:eastAsia="Calibri" w:hAnsi="Calibri"/>
          <w:b w:val="false"/>
          <w:bCs w:val="false"/>
          <w:i w:val="false"/>
          <w:iCs w:val="false"/>
          <w:color w:val="1E2733"/>
          <w:sz w:val="17"/>
          <w:szCs w:val="17"/>
        </w:rPr>
        <w:t xml:space="preserve">Bristlecone today introduced UNAI Studio, an agentic AI platform for enterprise supply chains. Instead of building a separate AI agent for every task — each re-implementing perception, memory, reasoning, evidence, action and governance — UNAI Studio builds that cognition once and runs many lightweight, domain-specific agents on top. The result is fewer moving parts, AI cost that is roughly 50% lower and predictable rather than scaling with the number of agents, and one governed, auditable system across the supply chain.</w:t>
      </w:r>
    </w:p>
    <w:p>
      <w:pPr>
        <w:spacing w:after="46" w:before="0"/>
      </w:pPr>
      <w:r>
        <w:rPr>
          <w:rFonts w:ascii="Calibri" w:cs="Calibri" w:eastAsia="Calibri" w:hAnsi="Calibri"/>
          <w:b w:val="false"/>
          <w:bCs w:val="false"/>
          <w:i w:val="false"/>
          <w:iCs w:val="false"/>
          <w:color w:val="1E2733"/>
          <w:sz w:val="17"/>
          <w:szCs w:val="17"/>
        </w:rPr>
        <w:t xml:space="preserve">Enterprises are adopting agentic AI faster than they can govern it. Roughly 40% of enterprise applications are expected to use AI agents by the end of 2026, yet most CIOs cannot forecast their AI spend and many have already received surprise usage bills. The prevailing “one agent per task” approach multiplies cost, sprawl and risk, and leaves a company's hard-won process expertise trapped in bespoke, one-off builds.</w:t>
      </w:r>
    </w:p>
    <w:p>
      <w:pPr>
        <w:spacing w:after="46" w:before="0"/>
      </w:pPr>
      <w:r>
        <w:rPr>
          <w:rFonts w:ascii="Calibri" w:cs="Calibri" w:eastAsia="Calibri" w:hAnsi="Calibri"/>
          <w:b w:val="false"/>
          <w:bCs w:val="false"/>
          <w:i w:val="false"/>
          <w:iCs w:val="false"/>
          <w:color w:val="1E2733"/>
          <w:sz w:val="17"/>
          <w:szCs w:val="17"/>
        </w:rPr>
        <w:t xml:space="preserve">UNAI Studio takes the opposite approach — consolidation, not orchestration. A shared cognitive runtime provides the seven capabilities every agent needs, once; a canonical ontology maps every system's fields into one business language and learns across deployments, so onboarding takes days, not months. Teams build, convert existing agents (LangGraph, CrewAI, Assistants), or compose a team — configuration, not new code. It runs in-tenant on Snowflake, Databricks, BigQuery or an SAP-compliant lakehouse, is model- and cloud-neutral, and keeps every decision explainable with confidence, attribution, autonomy thresholds and one audit trail. It is proven today across 32 supply-chain use cases, with ~175 agents Bristlecone already built now being onboarded — showing ~50% fewer tokens for the same work and 30–40% less delivery effort.</w:t>
      </w:r>
    </w:p>
    <w:p>
      <w:pPr>
        <w:spacing w:after="46" w:before="0"/>
      </w:pPr>
      <w:r>
        <w:rPr>
          <w:rFonts w:ascii="Calibri" w:cs="Calibri" w:eastAsia="Calibri" w:hAnsi="Calibri"/>
          <w:b w:val="false"/>
          <w:bCs w:val="false"/>
          <w:i w:val="false"/>
          <w:iCs w:val="false"/>
          <w:color w:val="1E2733"/>
          <w:sz w:val="17"/>
          <w:szCs w:val="17"/>
        </w:rPr>
        <w:t xml:space="preserve">“The economics of agentic AI break when every task spawns another agent,” said [Name], [Title], Bristlecone. </w:t>
      </w:r>
      <w:r>
        <w:rPr>
          <w:rFonts w:ascii="Calibri" w:cs="Calibri" w:eastAsia="Calibri" w:hAnsi="Calibri"/>
          <w:b w:val="false"/>
          <w:bCs w:val="false"/>
          <w:i w:val="false"/>
          <w:iCs w:val="false"/>
          <w:color w:val="1E2733"/>
          <w:sz w:val="17"/>
          <w:szCs w:val="17"/>
        </w:rPr>
        <w:t xml:space="preserve">“UNAI Studio makes cost scale with the value delivered, not the number of agents — running where the customer's data already lives, governed and explainable. It turns decades of supply-chain expertise into an owned, compounding platform.”</w:t>
      </w:r>
    </w:p>
    <w:p>
      <w:pPr>
        <w:spacing w:after="46" w:before="0"/>
      </w:pPr>
      <w:r>
        <w:rPr>
          <w:rFonts w:ascii="Calibri" w:cs="Calibri" w:eastAsia="Calibri" w:hAnsi="Calibri"/>
          <w:b w:val="false"/>
          <w:bCs w:val="false"/>
          <w:i/>
          <w:iCs/>
          <w:color w:val="1E2733"/>
          <w:sz w:val="17"/>
          <w:szCs w:val="17"/>
        </w:rPr>
        <w:t xml:space="preserve">UNAI Studio is available now for design-partner engagements — contact your Bristlecone team for a 30-minute demo and a scoped pilot on a live supply-chain use case.</w:t>
      </w:r>
    </w:p>
    <w:p>
      <w:pPr>
        <w:pBdr>
          <w:bottom w:val="single" w:color="C9D2DE" w:sz="8"/>
        </w:pBdr>
        <w:spacing w:after="70" w:before="60"/>
      </w:pPr>
    </w:p>
    <w:p>
      <w:pPr>
        <w:spacing w:after="22" w:before="66"/>
      </w:pPr>
      <w:r>
        <w:rPr>
          <w:rFonts w:ascii="Cambria" w:cs="Cambria" w:eastAsia="Cambria" w:hAnsi="Cambria"/>
          <w:b/>
          <w:bCs/>
          <w:color w:val="0C7C6F"/>
          <w:sz w:val="21"/>
          <w:szCs w:val="21"/>
        </w:rPr>
        <w:t xml:space="preserve">Frequently asked questions</w:t>
      </w:r>
    </w:p>
    <w:p>
      <w:pPr>
        <w:spacing w:after="36" w:before="34"/>
      </w:pPr>
      <w:r>
        <w:rPr>
          <w:rFonts w:ascii="Calibri" w:cs="Calibri" w:eastAsia="Calibri" w:hAnsi="Calibri"/>
          <w:b/>
          <w:bCs/>
          <w:i w:val="false"/>
          <w:iCs w:val="false"/>
          <w:color w:val="1F3556"/>
          <w:sz w:val="17"/>
          <w:szCs w:val="17"/>
        </w:rPr>
        <w:t xml:space="preserve">Commercial goals?  </w:t>
      </w:r>
      <w:r>
        <w:rPr>
          <w:rFonts w:ascii="Calibri" w:cs="Calibri" w:eastAsia="Calibri" w:hAnsi="Calibri"/>
          <w:b w:val="false"/>
          <w:bCs w:val="false"/>
          <w:i w:val="false"/>
          <w:iCs w:val="false"/>
          <w:color w:val="1E2733"/>
          <w:sz w:val="17"/>
          <w:szCs w:val="17"/>
        </w:rPr>
        <w:t xml:space="preserve">A grounded ~$95M of UNAI-attributable revenue by 2030 (upside ~$180M), sized bottom-up. Near-term: 2–3 design partners, cloud-partner co-sell, convert the first wave of the agent portfolio, and publish measured savings. $1B is a long-term aspiration, not the plan.</w:t>
      </w:r>
    </w:p>
    <w:p>
      <w:pPr>
        <w:spacing w:after="36" w:before="34"/>
      </w:pPr>
      <w:r>
        <w:rPr>
          <w:rFonts w:ascii="Calibri" w:cs="Calibri" w:eastAsia="Calibri" w:hAnsi="Calibri"/>
          <w:b/>
          <w:bCs/>
          <w:i w:val="false"/>
          <w:iCs w:val="false"/>
          <w:color w:val="1F3556"/>
          <w:sz w:val="17"/>
          <w:szCs w:val="17"/>
        </w:rPr>
        <w:t xml:space="preserve">Revenue channels?  </w:t>
      </w:r>
      <w:r>
        <w:rPr>
          <w:rFonts w:ascii="Calibri" w:cs="Calibri" w:eastAsia="Calibri" w:hAnsi="Calibri"/>
          <w:b w:val="false"/>
          <w:bCs w:val="false"/>
          <w:i w:val="false"/>
          <w:iCs w:val="false"/>
          <w:color w:val="1E2733"/>
          <w:sz w:val="17"/>
          <w:szCs w:val="17"/>
        </w:rPr>
        <w:t xml:space="preserve">Four reinforcing streams — platform subscription, implementation services, agent-conversion services, and managed run — expanded by capability packs. A broader seven-stream view (partner co-sell, patents/IP, new products) sits behind it. Land with one use case; expand as packs are added.</w:t>
      </w:r>
    </w:p>
    <w:p>
      <w:pPr>
        <w:spacing w:after="36" w:before="34"/>
      </w:pPr>
      <w:r>
        <w:rPr>
          <w:rFonts w:ascii="Calibri" w:cs="Calibri" w:eastAsia="Calibri" w:hAnsi="Calibri"/>
          <w:b/>
          <w:bCs/>
          <w:i w:val="false"/>
          <w:iCs w:val="false"/>
          <w:color w:val="1F3556"/>
          <w:sz w:val="17"/>
          <w:szCs w:val="17"/>
        </w:rPr>
        <w:t xml:space="preserve">Blast radius / reach?  </w:t>
      </w:r>
      <w:r>
        <w:rPr>
          <w:rFonts w:ascii="Calibri" w:cs="Calibri" w:eastAsia="Calibri" w:hAnsi="Calibri"/>
          <w:b w:val="false"/>
          <w:bCs w:val="false"/>
          <w:i w:val="false"/>
          <w:iCs w:val="false"/>
          <w:color w:val="1E2733"/>
          <w:sz w:val="17"/>
          <w:szCs w:val="17"/>
        </w:rPr>
        <w:t xml:space="preserve">Agentic AI in supply chain reaches ~$16.8B by 2030, inside a ~$53B SCM-software pond (Gartner); Bristlecone's serviceable slice is ~$4B. Reach compounds three ways: direct enterprise accounts across its verticals (auto, industrial, CPG, hi-tech, life sciences) and NA/EU/Asia footprint; cloud-partner co-sell riding Databricks/Snowflake/Google/SAP; and Bristlecone's own ~175-agent portfolio externalized as accelerators.</w:t>
      </w:r>
    </w:p>
    <w:p>
      <w:pPr>
        <w:spacing w:after="36" w:before="34"/>
      </w:pPr>
      <w:r>
        <w:rPr>
          <w:rFonts w:ascii="Calibri" w:cs="Calibri" w:eastAsia="Calibri" w:hAnsi="Calibri"/>
          <w:b/>
          <w:bCs/>
          <w:i w:val="false"/>
          <w:iCs w:val="false"/>
          <w:color w:val="1F3556"/>
          <w:sz w:val="17"/>
          <w:szCs w:val="17"/>
        </w:rPr>
        <w:t xml:space="preserve">Why now — significance?  </w:t>
      </w:r>
      <w:r>
        <w:rPr>
          <w:rFonts w:ascii="Calibri" w:cs="Calibri" w:eastAsia="Calibri" w:hAnsi="Calibri"/>
          <w:b w:val="false"/>
          <w:bCs w:val="false"/>
          <w:i w:val="false"/>
          <w:iCs w:val="false"/>
          <w:color w:val="1E2733"/>
          <w:sz w:val="17"/>
          <w:szCs w:val="17"/>
        </w:rPr>
        <w:t xml:space="preserve">The category is consolidating from many fragile agents to fewer, governed ones. Firms that own the runtime and the semantic layer — not just the services around them — capture the value. UNAI positions Bristlecone as the pure-play supply-chain firm that owns that runtime and a learning ontology: defensible, patentable IP. The window to convert expertise into owned IP is now.</w:t>
      </w:r>
    </w:p>
    <w:p>
      <w:pPr>
        <w:spacing w:after="36" w:before="34"/>
      </w:pPr>
      <w:r>
        <w:rPr>
          <w:rFonts w:ascii="Calibri" w:cs="Calibri" w:eastAsia="Calibri" w:hAnsi="Calibri"/>
          <w:b/>
          <w:bCs/>
          <w:i w:val="false"/>
          <w:iCs w:val="false"/>
          <w:color w:val="1F3556"/>
          <w:sz w:val="17"/>
          <w:szCs w:val="17"/>
        </w:rPr>
        <w:t xml:space="preserve">Real vs. modeled?  </w:t>
      </w:r>
      <w:r>
        <w:rPr>
          <w:rFonts w:ascii="Calibri" w:cs="Calibri" w:eastAsia="Calibri" w:hAnsi="Calibri"/>
          <w:b w:val="false"/>
          <w:bCs w:val="false"/>
          <w:i w:val="false"/>
          <w:iCs w:val="false"/>
          <w:color w:val="1E2733"/>
          <w:sz w:val="17"/>
          <w:szCs w:val="17"/>
        </w:rPr>
        <w:t xml:space="preserve">Real: the working app, ~50% measured token savings, 32 live use cases, the ~175-agent portfolio (built for customers; being onboarded). Modeled: market sizing and all revenue figures — illustrative, benchmark-anchored (Gartner, Mordor 2026); validate before external use.</w:t>
      </w:r>
    </w:p>
    <w:p>
      <w:pPr>
        <w:pBdr>
          <w:top w:val="single" w:color="C9D2DE" w:sz="8"/>
        </w:pBdr>
        <w:spacing w:after="26" w:before="80"/>
      </w:pPr>
    </w:p>
    <w:p>
      <w:pPr>
        <w:spacing w:after="0" w:before="0"/>
      </w:pPr>
      <w:r>
        <w:rPr>
          <w:rFonts w:ascii="Calibri" w:cs="Calibri" w:eastAsia="Calibri" w:hAnsi="Calibri"/>
          <w:b/>
          <w:bCs/>
          <w:i w:val="false"/>
          <w:iCs w:val="false"/>
          <w:color w:val="9A3B2E"/>
          <w:sz w:val="16"/>
          <w:szCs w:val="16"/>
        </w:rPr>
        <w:t xml:space="preserve">Proprietary &amp; Confidential — Bristlecone. </w:t>
      </w:r>
      <w:r>
        <w:rPr>
          <w:rFonts w:ascii="Calibri" w:cs="Calibri" w:eastAsia="Calibri" w:hAnsi="Calibri"/>
          <w:b w:val="false"/>
          <w:bCs w:val="false"/>
          <w:i/>
          <w:iCs/>
          <w:color w:val="5A6472"/>
          <w:sz w:val="16"/>
          <w:szCs w:val="16"/>
        </w:rPr>
        <w:t xml:space="preserve">Internal working PR/FAQ (Amazon-style). Bracketed names/dates are placeholders. Market and revenue figures are illustrative and benchmark-anchored; agent counts are actuals (built for customers, not yet fully onboarded onto UNAI). Validate before external use.</w:t>
      </w:r>
    </w:p>
    <w:sectPr>
      <w:pgSz w:w="12240" w:h="15840" w:orient="portrait"/>
      <w:pgMar w:top="720" w:right="900" w:bottom="6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7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2026-08-09T01:16:52.004Z</dcterms:created>
  <dcterms:modified xsi:type="dcterms:W3CDTF">2026-08-09T01:16:52.004Z</dcterms:modified>
</cp:coreProperties>
</file>

<file path=docProps/custom.xml><?xml version="1.0" encoding="utf-8"?>
<Properties xmlns="http://schemas.openxmlformats.org/officeDocument/2006/custom-properties" xmlns:vt="http://schemas.openxmlformats.org/officeDocument/2006/docPropsVTypes"/>
</file>