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p>
    <w:p>
      <w:pPr>
        <w:pBdr>
          <w:top w:val="single" w:color="1F3864" w:sz="24"/>
          <w:left w:val="single" w:color="1F3864" w:sz="8"/>
          <w:bottom w:val="single" w:color="1F3864" w:sz="8"/>
          <w:right w:val="single" w:color="1F3864" w:sz="8"/>
        </w:pBdr>
        <w:shd w:fill="1F3864" w:val="clear"/>
        <w:spacing w:before="0" w:after="240"/>
        <w:jc w:val="center"/>
      </w:pPr>
      <w:r>
        <w:rPr>
          <w:sz w:val="14"/>
          <w:szCs w:val="14"/>
        </w:rPr>
        <w:br/>
        <w:t xml:space="preserve"/>
      </w:r>
      <w:r>
        <w:rPr>
          <w:b/>
          <w:bCs/>
          <w:color w:val="FFFFFF"/>
          <w:sz w:val="40"/>
          <w:szCs w:val="40"/>
        </w:rPr>
        <w:t xml:space="preserve">ACCORD DE TRAITEMENT DES DONNÉES</w:t>
      </w:r>
      <w:r>
        <w:rPr>
          <w:color w:val="D0E4F7"/>
          <w:sz w:val="24"/>
          <w:szCs w:val="24"/>
        </w:rPr>
        <w:br/>
        <w:t xml:space="preserve">Data Processing Agreement (DPA)</w:t>
      </w:r>
      <w:r>
        <w:rPr>
          <w:color w:val="AACCE0"/>
          <w:sz w:val="20"/>
          <w:szCs w:val="20"/>
        </w:rPr>
        <w:br/>
        <w:t xml:space="preserve">Conformément à l'Article 28 du Règlement (UE) 2016/679 (RGPD)</w:t>
      </w:r>
      <w:r>
        <w:rPr>
          <w:sz w:val="14"/>
          <w:szCs w:val="14"/>
        </w:rPr>
        <w:br/>
        <w:t xml:space="preserve"/>
      </w:r>
    </w:p>
    <w:p>
      <w:pPr>
        <w:spacing w:before="36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b/>
                <w:bCs/>
                <w:color w:val="FFFFFF"/>
                <w:sz w:val="22"/>
                <w:szCs w:val="22"/>
              </w:rPr>
              <w:t xml:space="preserve">RESPONSABLE DU TRAITEMENT</w:t>
            </w:r>
          </w:p>
          <w:p>
            <w:r>
              <w:rPr>
                <w:b/>
                <w:bCs/>
                <w:color w:val="FFFFFF"/>
                <w:sz w:val="26"/>
                <w:szCs w:val="26"/>
              </w:rPr>
              <w:t xml:space="preserve">TechCorp SARL</w:t>
            </w:r>
          </w:p>
          <w:p>
            <w:r>
              <w:rPr>
                <w:color w:val="AACCE0"/>
                <w:sz w:val="20"/>
                <w:szCs w:val="20"/>
              </w:rPr>
              <w:t xml:space="preserve">SARL au capital de 50 000€</w:t>
            </w:r>
          </w:p>
          <w:p>
            <w:r>
              <w:rPr>
                <w:color w:val="D0E4F7"/>
                <w:sz w:val="18"/>
                <w:szCs w:val="18"/>
              </w:rPr>
              <w:t xml:space="preserve">42 rue de la Paix, 75002 Paris</w:t>
            </w:r>
          </w:p>
          <w:p>
            <w:r>
              <w:rPr>
                <w:color w:val="AACCE0"/>
                <w:sz w:val="18"/>
                <w:szCs w:val="18"/>
              </w:rPr>
              <w:t xml:space="preserve">DPO : dpo@techcorp.fr</w:t>
            </w:r>
          </w:p>
        </w:tc>
        <w:tc>
          <w:tcPr>
            <w:tcW w:type="dxa" w:w="4513"/>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b/>
                <w:bCs/>
                <w:color w:val="1F3864"/>
                <w:sz w:val="22"/>
                <w:szCs w:val="22"/>
              </w:rPr>
              <w:t xml:space="preserve">SOUS-TRAITANT</w:t>
            </w:r>
          </w:p>
          <w:p>
            <w:r>
              <w:rPr>
                <w:b/>
                <w:bCs/>
                <w:color w:val="1a1a1a"/>
                <w:sz w:val="26"/>
                <w:szCs w:val="26"/>
              </w:rPr>
              <w:t xml:space="preserve">CloudHost Solutions SAS</w:t>
            </w:r>
          </w:p>
          <w:p>
            <w:r>
              <w:rPr>
                <w:color w:val="555555"/>
                <w:sz w:val="20"/>
                <w:szCs w:val="20"/>
              </w:rPr>
              <w:t xml:space="preserve">SAS au capital de 100 000€</w:t>
            </w:r>
          </w:p>
          <w:p>
            <w:r>
              <w:rPr>
                <w:color w:val="555555"/>
                <w:sz w:val="18"/>
                <w:szCs w:val="18"/>
              </w:rPr>
              <w:t xml:space="preserve">18 avenue des Champs-Élysées, 75008 Paris</w:t>
            </w:r>
          </w:p>
          <w:p>
            <w:r>
              <w:rPr>
                <w:color w:val="555555"/>
                <w:sz w:val="18"/>
                <w:szCs w:val="18"/>
              </w:rPr>
              <w:t xml:space="preserve">DPO : privacy@cloudhost.fr</w:t>
            </w:r>
          </w:p>
        </w:tc>
      </w:tr>
    </w:tbl>
    <w:p>
      <w:pPr>
        <w:spacing w:before="24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b/>
                <w:bCs/>
                <w:sz w:val="20"/>
                <w:szCs w:val="20"/>
              </w:rPr>
              <w:t xml:space="preserve">Référence</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DPA-20260227-730A8B</w:t>
            </w:r>
          </w:p>
        </w:tc>
        <w:tc>
          <w:tcPr>
            <w:tcW w:type="dxa" w:w="24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0"/>
                <w:szCs w:val="20"/>
              </w:rPr>
              <w:t xml:space="preserve">Date : 27/02/2026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b/>
                <w:bCs/>
                <w:sz w:val="20"/>
                <w:szCs w:val="20"/>
              </w:rPr>
              <w:t xml:space="preserve">Objet</w:t>
            </w:r>
          </w:p>
        </w:tc>
        <w:tc>
          <w:tcPr>
            <w:tcW w:type="dxa" w:w="6626"/>
            <w:gridSpan w:val="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Hébergement et maintenance de la plateforme CRM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b/>
                <w:bCs/>
                <w:sz w:val="20"/>
                <w:szCs w:val="20"/>
              </w:rPr>
              <w:t xml:space="preserve">Version</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color w:val="888888"/>
                <w:sz w:val="18"/>
                <w:szCs w:val="18"/>
              </w:rPr>
              <w:t xml:space="preserve">v1.0  —  Hash : 9e692d356db6</w:t>
            </w:r>
          </w:p>
        </w:tc>
        <w:tc>
          <w:tcPr>
            <w:tcW w:type="dxa" w:w="24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Pays ST : France</w:t>
            </w:r>
          </w:p>
        </w:tc>
      </w:tr>
    </w:tbl>
    <w:p>
      <w:r>
        <w:br/>
        <w:t xml:space="preserve"/>
      </w:r>
    </w:p>
    <w:p>
      <w:pPr>
        <w:pStyle w:val="Heading1"/>
      </w:pPr>
      <w:r>
        <w:t xml:space="preserve">I. CLAUSES OBLIGATOIRES (Art. 28 RGPD)</w:t>
      </w:r>
    </w:p>
    <w:p>
      <w:pPr>
        <w:pStyle w:val="Heading2"/>
      </w:pPr>
      <w:r>
        <w:t xml:space="preserve">Art. 28(3) RGPD — Objet et durée du traitement</w:t>
      </w:r>
    </w:p>
    <w:p>
      <w:pPr>
        <w:spacing w:before="80" w:after="160"/>
      </w:pPr>
      <w:r>
        <w:t xml:space="preserve">Le Sous-traitant est autorisé à traiter les Données Personnelles décrites à l'Annexe 1 pour le compte du Responsable du traitement, aux seules fins définies à l'Annexe 1, pour la durée du Contrat principal ou jusqu'à résiliation expresse.</w:t>
      </w:r>
    </w:p>
    <w:p>
      <w:pPr>
        <w:pStyle w:val="Heading2"/>
      </w:pPr>
      <w:r>
        <w:t xml:space="preserve">Art. 28(3)(a) — Instructions documentées</w:t>
      </w:r>
    </w:p>
    <w:p>
      <w:pPr>
        <w:spacing w:before="80" w:after="160"/>
      </w:pPr>
      <w:r>
        <w:t xml:space="preserve">Le Sous-traitant traite les Données Personnelles uniquement sur instruction documentée du Responsable du traitement, y compris en ce qui concerne les transferts de données vers un pays tiers. Si le Sous-traitant est tenu de procéder à un transfert vers un pays tiers en vertu du droit de l'Union ou du droit d'un État membre auquel il est soumis, il en informe le Responsable du traitement préalablement au traitement, sauf si ce droit interdit une telle information.</w:t>
      </w:r>
    </w:p>
    <w:p>
      <w:pPr>
        <w:pStyle w:val="Heading2"/>
      </w:pPr>
      <w:r>
        <w:t xml:space="preserve">Art. 28(3)(b) — Obligation de confidentialité</w:t>
      </w:r>
    </w:p>
    <w:p>
      <w:pPr>
        <w:spacing w:before="80" w:after="160"/>
      </w:pPr>
      <w:r>
        <w:t xml:space="preserve">Le Sous-traitant veille à ce que les personnes autorisées à traiter les Données Personnelles s'engagent à respecter la confidentialité ou soient soumises à une obligation légale appropriée de confidentialité. La liste des personnes autorisées est tenue à jour et mise à disposition du Responsable du traitement sur demande.</w:t>
      </w:r>
    </w:p>
    <w:p>
      <w:pPr>
        <w:pStyle w:val="Heading2"/>
      </w:pPr>
      <w:r>
        <w:t xml:space="preserve">Art. 28(3)(c) + Art. 32 — Mesures de sécurité (Art. 32)</w:t>
      </w:r>
    </w:p>
    <w:p>
      <w:pPr>
        <w:spacing w:before="80" w:after="160"/>
      </w:pPr>
      <w:r>
        <w:t xml:space="preserve">Le Sous-traitant met en oeuvre les mesures techniques et organisationnelles appropriées visées à l'Article 32 du RGPD, notamment celles décrites à l'Annexe 2. Ces mesures comprennent au minimum : (i) le chiffrement des données en transit et au repos ; (ii) des contrôles d'accès basés sur les rôles (RBAC) ; (iii) une authentification multi-facteurs pour les accès aux systèmes traitant les Données ; (iv) un plan de réponse aux incidents avec délai de notification de 24h au Responsable.</w:t>
      </w:r>
    </w:p>
    <w:p>
      <w:pPr>
        <w:pStyle w:val="Heading2"/>
      </w:pPr>
      <w:r>
        <w:t xml:space="preserve">Art. 28(2) + Art. 28(4) — Recours à un autre sous-traitant</w:t>
      </w:r>
    </w:p>
    <w:p>
      <w:pPr>
        <w:spacing w:before="80" w:after="160"/>
      </w:pPr>
      <w:r>
        <w:t xml:space="preserve">Le Sous-traitant ne recourt à un autre sous-traitant (ci-après 'Sous-traitant Ultérieur') qu'avec l'autorisation écrite préalable spécifique ou générale du Responsable du traitement. Dans le cas d'une autorisation générale, le Sous-traitant informe le Responsable de tout changement prévu concernant l'ajout ou le remplacement d'autres sous-traitants, donnant ainsi au Responsable la possibilité d'émettre des objections à l'encontre de ces changements. Le Sous-traitant impose au Sous-traitant Ultérieur les mêmes obligations que celles prévues au présent Contrat.</w:t>
      </w:r>
    </w:p>
    <w:p>
      <w:pPr>
        <w:pStyle w:val="Heading2"/>
      </w:pPr>
      <w:r>
        <w:t xml:space="preserve">Art. 28(3)(e) + Art. 12-22 — Assistance pour les droits des personnes</w:t>
      </w:r>
    </w:p>
    <w:p>
      <w:pPr>
        <w:spacing w:before="80" w:after="160"/>
      </w:pPr>
      <w:r>
        <w:t xml:space="preserve">Compte tenu de la nature du traitement, le Sous-traitant aide le Responsable du traitement, par des mesures techniques et organisationnelles appropriées, à s'acquitter de son obligation de donner suite aux demandes dont les personnes concernées le saisissent en vue d'exercer leurs droits : droit d'accès (Art. 15), de rectification (Art. 16), d'effacement (Art. 17), à la portabilité (Art. 20), d'opposition (Art. 21). Le délai de réponse du Sous-traitant ne dépasse pas 72h ouvrées.</w:t>
      </w:r>
    </w:p>
    <w:p>
      <w:pPr>
        <w:pStyle w:val="Heading2"/>
      </w:pPr>
      <w:r>
        <w:t xml:space="preserve">Art. 28(3)(f) + Art. 33-34 — Notification des violations de données</w:t>
      </w:r>
    </w:p>
    <w:p>
      <w:pPr>
        <w:spacing w:before="80" w:after="160"/>
      </w:pPr>
      <w:r>
        <w:t xml:space="preserve">Le Sous-traitant notifie au Responsable du traitement toute violation de données à caractère personnel dans les meilleurs délais après en avoir pris connaissance, et au plus tard dans un délai de 24 heures. Cette notification contient au minimum : (i) la nature de la violation ; (ii) les catégories et nombre approximatif de personnes concernées ; (iii) les catégories et nombre approximatif d'enregistrements concernés ; (iv) les conséquences probables ; (v) les mesures prises ou envisagées.</w:t>
      </w:r>
    </w:p>
    <w:p>
      <w:pPr>
        <w:pStyle w:val="Heading2"/>
      </w:pPr>
      <w:r>
        <w:t xml:space="preserve">Art. 28(3)(f) + Art. 35-36 — Analyse d'impact (AIPD) et consultation préalable</w:t>
      </w:r>
    </w:p>
    <w:p>
      <w:pPr>
        <w:spacing w:before="80" w:after="160"/>
      </w:pPr>
      <w:r>
        <w:t xml:space="preserve">Le Sous-traitant aide le Responsable du traitement à garantir le respect des obligations découlant des Articles 32 à 36, compte tenu de la nature du traitement et des informations dont dispose le Sous-traitant. En cas de traitement susceptible d'engendrer un risque élevé, le Sous-traitant apporte son concours à la réalisation d'une Analyse d'Impact relative à la Protection des Données (AIPD) dans un délai de 20 jours ouvrés.</w:t>
      </w:r>
    </w:p>
    <w:p>
      <w:pPr>
        <w:pStyle w:val="Heading2"/>
      </w:pPr>
      <w:r>
        <w:t xml:space="preserve">Art. 28(3)(g) — Sort des données en fin de contrat</w:t>
      </w:r>
    </w:p>
    <w:p>
      <w:pPr>
        <w:spacing w:before="80" w:after="160"/>
      </w:pPr>
      <w:r>
        <w:t xml:space="preserve">Au terme du Contrat principal ou sur demande du Responsable du traitement, le Sous-traitant : (i) restitue au Responsable l'intégralité des Données dans un format ouvert et portable (CSV, JSON ou XML selon les données) dans un délai de 30 jours calendaires ; puis (ii) détruit toutes les copies existantes, sauf obligation légale de conservation. La suppression est attestée par un certificat de destruction délivré sous 5 jours ouvrés. Les données de sauvegarde sont détruites dans un délai n'excédant pas 60 jours.</w:t>
      </w:r>
    </w:p>
    <w:p>
      <w:pPr>
        <w:pStyle w:val="Heading2"/>
      </w:pPr>
      <w:r>
        <w:t xml:space="preserve">Art. 28(3)(h) — Droit d'audit et d'inspection</w:t>
      </w:r>
    </w:p>
    <w:p>
      <w:pPr>
        <w:spacing w:before="80" w:after="160"/>
      </w:pPr>
      <w:r>
        <w:t xml:space="preserve">Le Sous-traitant met à la disposition du Responsable du traitement toutes les informations nécessaires pour apporter la preuve du respect des obligations prévues à l'Article 28 du RGPD et pour permettre la réalisation d'audits, y compris des inspections, par le Responsable du traitement ou un auditeur qu'il a mandaté, et contribue à ces audits. Les audits ont lieu sur préavis de 15 jours ouvrés, sauf urgence justifiée, et ne dépassent pas 2 jours par an sauf manquement avéré.</w:t>
      </w:r>
    </w:p>
    <w:p>
      <w:pPr>
        <w:pStyle w:val="Heading2"/>
      </w:pPr>
      <w:r>
        <w:t xml:space="preserve">Art. 44-49 RGPD — Transferts vers pays tiers</w:t>
      </w:r>
    </w:p>
    <w:p>
      <w:pPr>
        <w:spacing w:before="80" w:after="160"/>
      </w:pPr>
      <w:r>
        <w:t xml:space="preserve">Tout transfert de Données vers un pays tiers ou une organisation internationale est subordonné au respect du Chapitre V du RGPD. En l'absence de décision d'adéquation de la Commission européenne pour le pays destinataire, le Sous-traitant s'engage à mettre en oeuvre des garanties appropriées, notamment : des Clauses Contractuelles Types (CCT) adoptées par la Commission (décision 2021/914), ou des Règles d'Entreprise Contraignantes (BCR), ou tout autre mécanisme prévu à l'Article 46 du RGPD.</w:t>
      </w:r>
    </w:p>
    <w:p>
      <w:pPr>
        <w:pStyle w:val="Heading2"/>
      </w:pPr>
      <w:r>
        <w:t xml:space="preserve">Art. 37-39 RGPD — Délégué à la Protection des Données</w:t>
      </w:r>
    </w:p>
    <w:p>
      <w:pPr>
        <w:spacing w:before="80" w:after="160"/>
      </w:pPr>
      <w:r>
        <w:t xml:space="preserve">Si le Sous-traitant est tenu de désigner un Délégué à la Protection des Données (DPO) en vertu de l'Article 37 du RGPD, il communique ses coordonnées au Responsable du traitement lors de la signature du présent Contrat. Toute modification des coordonnées du DPO est notifiée dans un délai de 10 jours ouvrés. Les échanges avec le DPO du Responsable du traitement se font par voie électronique sécurisée.</w:t>
      </w:r>
    </w:p>
    <w:p>
      <w:pPr>
        <w:pStyle w:val="Heading1"/>
      </w:pPr>
      <w:r>
        <w:t xml:space="preserve">II. ANNEXE 1 — DESCRIPTION DU TRAITEMENT</w:t>
      </w:r>
    </w:p>
    <w:p>
      <w:pPr>
        <w:pStyle w:val="Heading2"/>
      </w:pPr>
      <w:r>
        <w:t xml:space="preserve">A. Finalités du traitement</w:t>
      </w:r>
    </w:p>
    <w:p>
      <w:pPr>
        <w:pStyle w:val="ListParagraph"/>
        <w:numPr>
          <w:ilvl w:val="0"/>
          <w:numId w:val="2"/>
        </w:numPr>
      </w:pPr>
      <w:r>
        <w:t xml:space="preserve">Hébergement de la base de données clients</w:t>
      </w:r>
    </w:p>
    <w:p>
      <w:pPr>
        <w:pStyle w:val="ListParagraph"/>
        <w:numPr>
          <w:ilvl w:val="0"/>
          <w:numId w:val="2"/>
        </w:numPr>
      </w:pPr>
      <w:r>
        <w:t xml:space="preserve">Sauvegarde quotidienne des données</w:t>
      </w:r>
    </w:p>
    <w:p>
      <w:pPr>
        <w:pStyle w:val="ListParagraph"/>
        <w:numPr>
          <w:ilvl w:val="0"/>
          <w:numId w:val="2"/>
        </w:numPr>
      </w:pPr>
      <w:r>
        <w:t xml:space="preserve">Maintenance préventive et corrective</w:t>
      </w:r>
    </w:p>
    <w:p>
      <w:pPr>
        <w:pStyle w:val="ListParagraph"/>
        <w:numPr>
          <w:ilvl w:val="0"/>
          <w:numId w:val="2"/>
        </w:numPr>
      </w:pPr>
      <w:r>
        <w:t xml:space="preserve">Supervision des performances</w:t>
      </w:r>
    </w:p>
    <w:p>
      <w:pPr>
        <w:pStyle w:val="Heading2"/>
      </w:pPr>
      <w:r>
        <w:t xml:space="preserve">B. Catégories de personnes concernées</w:t>
      </w:r>
    </w:p>
    <w:p>
      <w:pPr>
        <w:pStyle w:val="ListParagraph"/>
        <w:numPr>
          <w:ilvl w:val="0"/>
          <w:numId w:val="3"/>
        </w:numPr>
      </w:pPr>
      <w:r>
        <w:t xml:space="preserve">Clients et prospects de TechCorp</w:t>
      </w:r>
    </w:p>
    <w:p>
      <w:pPr>
        <w:pStyle w:val="ListParagraph"/>
        <w:numPr>
          <w:ilvl w:val="0"/>
          <w:numId w:val="3"/>
        </w:numPr>
      </w:pPr>
      <w:r>
        <w:t xml:space="preserve">Contacts commerciaux (entreprises)</w:t>
      </w:r>
    </w:p>
    <w:p>
      <w:pPr>
        <w:pStyle w:val="ListParagraph"/>
        <w:numPr>
          <w:ilvl w:val="0"/>
          <w:numId w:val="3"/>
        </w:numPr>
      </w:pPr>
      <w:r>
        <w:t xml:space="preserve">Utilisateurs de la plateforme</w:t>
      </w:r>
    </w:p>
    <w:p>
      <w:pPr>
        <w:pStyle w:val="Heading2"/>
      </w:pPr>
      <w:r>
        <w:t xml:space="preserve">C. Catégories de données traitées</w:t>
      </w:r>
    </w:p>
    <w:p>
      <w:pPr>
        <w:pStyle w:val="ListParagraph"/>
        <w:numPr>
          <w:ilvl w:val="0"/>
          <w:numId w:val="3"/>
        </w:numPr>
      </w:pPr>
      <w:r>
        <w:t xml:space="preserve">Identité : nom, prénom, fonction</w:t>
      </w:r>
    </w:p>
    <w:p>
      <w:pPr>
        <w:pStyle w:val="ListParagraph"/>
        <w:numPr>
          <w:ilvl w:val="0"/>
          <w:numId w:val="3"/>
        </w:numPr>
      </w:pPr>
      <w:r>
        <w:t xml:space="preserve">Coordonnées : email, téléphone, adresse</w:t>
      </w:r>
    </w:p>
    <w:p>
      <w:pPr>
        <w:pStyle w:val="ListParagraph"/>
        <w:numPr>
          <w:ilvl w:val="0"/>
          <w:numId w:val="3"/>
        </w:numPr>
      </w:pPr>
      <w:r>
        <w:t xml:space="preserve">Données commerciales : historique achats, devis</w:t>
      </w:r>
    </w:p>
    <w:p>
      <w:pPr>
        <w:pStyle w:val="ListParagraph"/>
        <w:numPr>
          <w:ilvl w:val="0"/>
          <w:numId w:val="3"/>
        </w:numPr>
      </w:pPr>
      <w:r>
        <w:t xml:space="preserve">Données de connexion : logs, IP pseudonymisées</w:t>
      </w:r>
    </w:p>
    <w:p>
      <w:pPr>
        <w:pStyle w:val="Heading2"/>
      </w:pPr>
      <w:r>
        <w:t xml:space="preserve">D. Volume estimé et durée</w:t>
      </w:r>
    </w:p>
    <w:p>
      <w:r>
        <w:t xml:space="preserve">Volume estimé : Environ 25 000 enregistrements clients</w:t>
      </w:r>
    </w:p>
    <w:p>
      <w:r>
        <w:t xml:space="preserve">Durée du traitement : Durée du contrat de service (3 ans renouvelables)</w:t>
      </w:r>
    </w:p>
    <w:p>
      <w:pPr>
        <w:pStyle w:val="Heading1"/>
      </w:pPr>
      <w:r>
        <w:t xml:space="preserve">III. ANNEXE 2 — MESURES DE SÉCURITÉ (Art. 32 RGPD)</w:t>
      </w:r>
    </w:p>
    <w:p>
      <w:pPr>
        <w:spacing w:before="80" w:after="120"/>
      </w:pPr>
      <w:r>
        <w:t xml:space="preserve">Le Sous-traitant met en oeuvre les mesures techniques et organisationnelles suivantes :</w:t>
      </w:r>
    </w:p>
    <w:p>
      <w:pPr>
        <w:pStyle w:val="ListParagraph"/>
        <w:numPr>
          <w:ilvl w:val="0"/>
          <w:numId w:val="3"/>
        </w:numPr>
      </w:pPr>
      <w:r>
        <w:t xml:space="preserve">Chiffrement AES-256 des données au repos et TLS 1.3 en transit</w:t>
      </w:r>
    </w:p>
    <w:p>
      <w:pPr>
        <w:pStyle w:val="ListParagraph"/>
        <w:numPr>
          <w:ilvl w:val="0"/>
          <w:numId w:val="3"/>
        </w:numPr>
      </w:pPr>
      <w:r>
        <w:t xml:space="preserve">Authentification multi-facteurs (MFA) pour tous les accès admin</w:t>
      </w:r>
    </w:p>
    <w:p>
      <w:pPr>
        <w:pStyle w:val="ListParagraph"/>
        <w:numPr>
          <w:ilvl w:val="0"/>
          <w:numId w:val="3"/>
        </w:numPr>
      </w:pPr>
      <w:r>
        <w:t xml:space="preserve">Contrôle d'accès RBAC avec principe du moindre privilège</w:t>
      </w:r>
    </w:p>
    <w:p>
      <w:pPr>
        <w:pStyle w:val="ListParagraph"/>
        <w:numPr>
          <w:ilvl w:val="0"/>
          <w:numId w:val="3"/>
        </w:numPr>
      </w:pPr>
      <w:r>
        <w:t xml:space="preserve">Journalisation complète des accès (conservation 12 mois)</w:t>
      </w:r>
    </w:p>
    <w:p>
      <w:pPr>
        <w:pStyle w:val="ListParagraph"/>
        <w:numPr>
          <w:ilvl w:val="0"/>
          <w:numId w:val="3"/>
        </w:numPr>
      </w:pPr>
      <w:r>
        <w:t xml:space="preserve">Sauvegardes chiffrées quotidiennes avec rétention 30 jours</w:t>
      </w:r>
    </w:p>
    <w:p>
      <w:pPr>
        <w:pStyle w:val="ListParagraph"/>
        <w:numPr>
          <w:ilvl w:val="0"/>
          <w:numId w:val="3"/>
        </w:numPr>
      </w:pPr>
      <w:r>
        <w:t xml:space="preserve">Plan de réponse aux incidents (PRI) avec équipe 24/7</w:t>
      </w:r>
    </w:p>
    <w:p>
      <w:pPr>
        <w:pStyle w:val="ListParagraph"/>
        <w:numPr>
          <w:ilvl w:val="0"/>
          <w:numId w:val="3"/>
        </w:numPr>
      </w:pPr>
      <w:r>
        <w:t xml:space="preserve">Tests de pénétration annuels par prestataire certifié</w:t>
      </w:r>
    </w:p>
    <w:p>
      <w:pPr>
        <w:pStyle w:val="ListParagraph"/>
        <w:numPr>
          <w:ilvl w:val="0"/>
          <w:numId w:val="3"/>
        </w:numPr>
      </w:pPr>
      <w:r>
        <w:t xml:space="preserve">Certification ISO 27001 en cours (audit prévu Q2 2026)</w:t>
      </w:r>
    </w:p>
    <w:p>
      <w:pPr>
        <w:pStyle w:val="Heading2"/>
      </w:pPr>
      <w:r>
        <w:t xml:space="preserve">Certifications et conformités</w:t>
      </w:r>
    </w:p>
    <w:p>
      <w:r>
        <w:t xml:space="preserve">HDS (Hébergement Données de Santé) — non applicable, ISO 27001 (certification en cours)</w:t>
      </w:r>
    </w:p>
    <w:p>
      <w:pPr>
        <w:pStyle w:val="Heading1"/>
      </w:pPr>
      <w:r>
        <w:t xml:space="preserve">IV. ANNEXE 3 — SOUS-TRAITANTS ULTÉRIEURS</w:t>
      </w:r>
    </w:p>
    <w:p>
      <w:pPr>
        <w:spacing w:before="80" w:after="120"/>
      </w:pPr>
      <w:r>
        <w:t xml:space="preserve">Autorisation : Générale (avec notification préalable). </w:t>
      </w:r>
    </w:p>
    <w:p>
      <w:pPr>
        <w:pStyle w:val="ListParagraph"/>
        <w:numPr>
          <w:ilvl w:val="0"/>
          <w:numId w:val="3"/>
        </w:numPr>
      </w:pPr>
      <w:r>
        <w:t xml:space="preserve">OVHcloud — Hébergement physique des serveurs (France)</w:t>
      </w:r>
    </w:p>
    <w:p>
      <w:pPr>
        <w:pStyle w:val="ListParagraph"/>
        <w:numPr>
          <w:ilvl w:val="0"/>
          <w:numId w:val="3"/>
        </w:numPr>
      </w:pPr>
      <w:r>
        <w:t xml:space="preserve">Datadog — Monitoring et alerting (États-Unis — DPF)</w:t>
      </w:r>
    </w:p>
    <w:p>
      <w:pPr>
        <w:pStyle w:val="ListParagraph"/>
        <w:numPr>
          <w:ilvl w:val="0"/>
          <w:numId w:val="3"/>
        </w:numPr>
      </w:pPr>
      <w:r>
        <w:t xml:space="preserve">PagerDuty — Gestion des astreintes (États-Unis — DPF)</w:t>
      </w:r>
    </w:p>
    <w:p>
      <w:pPr>
        <w:pStyle w:val="Heading1"/>
      </w:pPr>
      <w:r>
        <w:t xml:space="preserve">V. SIGNATURES</w:t>
      </w:r>
    </w:p>
    <w:p>
      <w:pPr>
        <w:spacing w:before="120" w:after="360"/>
      </w:pPr>
      <w:r>
        <w:t xml:space="preserve">Les parties soussignées déclarent avoir lu et approuvé l'intégralité du présent Accord de Traitement des Données. Cet accord entre en vigueur à la date de la dernière signature.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b/>
                <w:bCs/>
                <w:sz w:val="22"/>
                <w:szCs w:val="22"/>
              </w:rPr>
              <w:t xml:space="preserve">Responsable du traitement</w:t>
            </w:r>
          </w:p>
          <w:p>
            <w:r>
              <w:rPr>
                <w:sz w:val="22"/>
                <w:szCs w:val="22"/>
              </w:rPr>
              <w:t xml:space="preserve">TechCorp SARL</w:t>
            </w:r>
          </w:p>
          <w:p>
            <w:r>
              <w:rPr>
                <w:sz w:val="20"/>
                <w:szCs w:val="20"/>
              </w:rPr>
              <w:t xml:space="preserve">Représenté par : Pierre Dupont, Directeur Général</w:t>
            </w:r>
          </w:p>
          <w:p>
            <w:pPr>
              <w:spacing w:before="480" w:after="0"/>
            </w:pPr>
            <w:r>
              <w:t xml:space="preserve">Date et signature :</w:t>
            </w:r>
          </w:p>
          <w:p>
            <w:pPr>
              <w:spacing w:before="480" w:after="0"/>
            </w:pPr>
            <w:r>
              <w:t xml:space="preserve">____________________________</w:t>
            </w:r>
          </w:p>
        </w:tc>
        <w:tc>
          <w:tcPr>
            <w:tcW w:type="dxa" w:w="4513"/>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b/>
                <w:bCs/>
                <w:sz w:val="22"/>
                <w:szCs w:val="22"/>
              </w:rPr>
              <w:t xml:space="preserve">Sous-traitant</w:t>
            </w:r>
          </w:p>
          <w:p>
            <w:r>
              <w:rPr>
                <w:sz w:val="22"/>
                <w:szCs w:val="22"/>
              </w:rPr>
              <w:t xml:space="preserve">CloudHost Solutions SAS</w:t>
            </w:r>
          </w:p>
          <w:p>
            <w:r>
              <w:rPr>
                <w:sz w:val="20"/>
                <w:szCs w:val="20"/>
              </w:rPr>
              <w:t xml:space="preserve">Représenté par : Marie Laurent, Directrice Technique</w:t>
            </w:r>
          </w:p>
          <w:p>
            <w:pPr>
              <w:spacing w:before="480" w:after="0"/>
            </w:pPr>
            <w:r>
              <w:t xml:space="preserve">Date et signature :</w:t>
            </w:r>
          </w:p>
          <w:p>
            <w:pPr>
              <w:spacing w:before="480" w:after="0"/>
            </w:pPr>
            <w:r>
              <w:t xml:space="preserve">____________________________</w:t>
            </w:r>
          </w:p>
        </w:tc>
      </w:tr>
    </w:tbl>
    <w:sectPr>
      <w:headerReference w:type="default" r:id="rId6"/>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color w:val="888888"/>
        <w:sz w:val="18"/>
        <w:szCs w:val="18"/>
      </w:rPr>
      <w:t xml:space="preserve">Confidentiel — TechCorp SARL / CloudHost Solutions SAS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6"/>
      </w:pBdr>
    </w:pPr>
    <w:r>
      <w:rPr>
        <w:b/>
        <w:bCs/>
        <w:color w:val="1F3864"/>
        <w:sz w:val="20"/>
        <w:szCs w:val="20"/>
      </w:rPr>
      <w:t xml:space="preserve">ACCORD DE TRAITEMENT DES DONNÉES (DPA)</w:t>
    </w:r>
    <w:r>
      <w:rPr>
        <w:color w:val="888888"/>
        <w:sz w:val="18"/>
        <w:szCs w:val="18"/>
      </w:rPr>
      <w:t xml:space="preserve">   •   Réf. DPA-20260227-730A8B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4" w:space="4"/>
      </w:pBd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4057"/>
      <w:sz w:val="24"/>
      <w:szCs w:val="24"/>
    </w:rPr>
  </w:style>
  <w:style w:type="paragraph" w:styleId="Heading3">
    <w:name w:val="Heading 3"/>
    <w:basedOn w:val="Normal"/>
    <w:next w:val="Normal"/>
    <w:qFormat/>
    <w:pPr>
      <w:spacing w:before="160" w:after="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2026-02-27T02:47:42.562Z</dcterms:created>
  <dcterms:modified xsi:type="dcterms:W3CDTF">2026-02-27T02:47:42.564Z</dcterms:modified>
</cp:coreProperties>
</file>

<file path=docProps/custom.xml><?xml version="1.0" encoding="utf-8"?>
<Properties xmlns="http://schemas.openxmlformats.org/officeDocument/2006/custom-properties" xmlns:vt="http://schemas.openxmlformats.org/officeDocument/2006/docPropsVTypes"/>
</file>