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🛡️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PLAN DE CONTINUITÉ D'ACTIVITÉ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TechCorp SARL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Éditeur de logiciels SaaS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· 27/02/2026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CONFIDENTIEL — USAGE INTERNE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Synthèse Exécutive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 Plan de Continuité d'Activité (PCA) définit les procédures de réponse et de reprise pour TechCorp SARL face aux incidents de sécurité. Il est établi conformément à ISO 22301 et ISO 27001 A.17.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horaire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TechCorp SARL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250 collaborateurs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8 500€ / heure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Cellule de Crise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PDG — Alexandre Leroi (+33 6 12 34 56 78)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DSI — Sophie Bernard (+33 6 23 45 67 89)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DPO — Marie Dubois (+33 6 34 56 78 90)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RSSI — Jean-Paul Martin (+33 6 45 67 89 01)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Juridique — Thomas Petit (+33 6 56 78 90 12)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Coordonnées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DPO (Délégué Protection des Données)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Marie Dubois — dpo@techcorp.fr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RSSI (Responsable Sécurité SI)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Jean-Paul Martin — rssi@techcorp.fr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Matrice des Risques — RTO / RPO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objectifs de temps de reprise (RTO) et de point de reprise (RPO) sont définis par type d'incident selon leur impact opérationnel et réglementaire.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900"/>
        <w:gridCol w:w="900"/>
        <w:gridCol w:w="1760"/>
        <w:gridCol w:w="1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financier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CNIL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 Ransomware / Chiffrement malveillant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34 000€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Notification 72h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📊 Violation de données personnelles (Data Breach)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8 500€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Notification 72h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💻 Panne serveur 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8 500€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Modéré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🌊 Attaque DDoS (Déni de Service Distribué)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Modéré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RTO </w:t>
      </w:r>
      <w:r>
        <w:rPr>
          <w:rFonts w:ascii="Arial" w:cs="Arial" w:eastAsia="Arial" w:hAnsi="Arial"/>
          <w:sz w:val="22"/>
          <w:szCs w:val="22"/>
        </w:rPr>
        <w:t xml:space="preserve">(Recovery Time Objective) — délai maximal avant remise en service.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RPO </w:t>
      </w:r>
      <w:r>
        <w:rPr>
          <w:rFonts w:ascii="Arial" w:cs="Arial" w:eastAsia="Arial" w:hAnsi="Arial"/>
          <w:sz w:val="22"/>
          <w:szCs w:val="22"/>
        </w:rPr>
        <w:t xml:space="preserve">(Recovery Point Objective) — fenêtre maximale de perte de données acceptable.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🔒 Ransomware / Chiffrement malveillant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34 000€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Isolation immédiate (0-15 minutes)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Contenir la propagation avant tout autre action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Déconnecter IMMÉDIATEMENT les machines chiffrées du réseau (câble et Wi-Fi)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NE PAS éteindre les machines — la RAM peut contenir des clés de déchiffrement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/ RSSI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Débranchement physique LAN + désactivation Wi-Fi / VPN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Isoler les segments réseau touchés via les ACL du pare-feu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Vérifier les connexions actives vers des IP externes suspectes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Pare-feu : bloquer les VLAN infectés · Isoler les partages SMB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le patient zéro (première machine touchée)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Le ransomware peut dormir 2-3 semaines avant de s'activer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Astreinte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Vérifier les logs SIEM · Horodatage des premiers fichiers chiffrés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Activer la cellule de crise et notifier les parties prenantes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Communiquer uniquement via canal hors-bande (téléphone)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Appel des 5 membres de la cellule de crise (liste page 12)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Évaluation et notification (15 min – 2 heures)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Mesurer l'étendue, notifier les autorités, préparer la reprise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Évaluer l'étendue du chiffrement (% de fichiers, serveurs, backups)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Vérifier si les backups online sont également chiffrés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Inventaire rapide : partages réseau · NAS · Active Directory · bases de données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Notifier la CNIL dans les 72h si données personnelles concernées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Sanction jusqu'à 4% du CA mondial pour retard de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+ 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Formulaire CNIL en ligne · Mentionner : périmètre, données, mesures prises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Déposer plainte auprès de la police (indispensable pour les assurances)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Ne jamais payer la rançon sans avis juridique — paiement peut être illégal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 Générale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Gendarmerie ou police nationale · Conserver la preuve du dépôt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le variant du ransomware pour trouver un déchiffreur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Soumettre échantillon sur ID Ransomware (id-ransomware.malwarehunterteam.com) · No More Ransom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Reprise d'activité (2 – 48 heures)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Restaurer les services critiques depuis les backups sains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le dernier backup non-compromis (avant l'infection)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Restaurer sur infrastructure propre isolée, jamais sur l'infra compromise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Vérifier les backups offline/immuables · Tester l'intégrité avant restauration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Reconstruire l'infrastructure depuis une image saine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Scanner les backups avant restauration (le ransomware peut être dans les backups)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Provisionner depuis templates vérifiés · Appliquer tous les patches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Analyser le vecteur d'entrée pour le colmater avant reprise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Si vecteur non identifié : ne pas remettre en prod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Forensique : logs email, VPN, RDP, navigateurs, clés USB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MODÉRÉ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Communiquer l'état d'avancement aux utilisateurs et clients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Ne jamais minimiser la situation ni donner une ETA non confirmée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Email de statut toutes les 4h · Page de statut sur canal externe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📚 Causes racines typiques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Segmentation réseau insuffisante (propagation latérale)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Backups connectés au réseau principal (chiffrés aussi)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Absence de MFA sur les accès RDP/VPN (vecteur d'entrée)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Délai de détection trop long (manque de surveillance EDR)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🛡️ Mesures préventives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Backups 3-2-1 avec copie offline/immuable (ex: Veeam Object Lock)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MFA obligatoire sur tous les accès distants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EDR (Endpoint Detection &amp; Response) sur tous les postes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Exercices de simulation ransomware tous les 6 mois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📊 Violation de données personnelles (Data Breach)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8 500€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Détection et confinement immédiat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Arrêter l'exfiltration et préserver les preuves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Bloquer immédiatement l'accès aux données compromises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Préserver les logs — ils constituent des preuves légales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Révoquer les credentials compromis · Bloquer les IP 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Qualifier la violation : catégories de données, nombre de personnes concernées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Les données de santé, biométriques, pénales sont 'sensibles' (Art. 9 RGPD)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Classification CNIL : confidentielle / sensible / critique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Ouvrir un registre de l'incident (obligatoire Art. 33 RGPD)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Juridique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Date/heure · Nature · Données concernées · Conséquences · Mesures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Notification obligatoire (&lt; 72 heures)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Respecter les délais légaux RGPD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Notifier la CNIL dans les 72h (Art. 33 RGPD)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Amende jusqu'à 10M€ ou 2% CA pour retard de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+ 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notifications.cnil.fr · Si notification tardive : justifier le retard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Notifier les personnes concernées 'sans retard injustifié' si risque élevé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Art. 34 RGPD : notification individuelle si risque élevé pour les droits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Email individuel · Mentions obligatoires : nature, coordonnées DPO, conséquences, mesures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Préparer les réponses aux questions presse et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FAQ interne · Points de contact uniques · Pas de déclaration sans validation juridique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📚 Causes racines typiques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Absence de chiffrement des données au repos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Accès trop larges (principe du moindre privilège non appliqué)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Logs insuffisants pour reconstruire le timeline de l'incident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🛡️ Mesures préventives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Chiffrement AES-256 des données au repos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Audit des droits d'accès trimestriel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DLP (Data Loss Prevention) sur les canaux de sortie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💻 Panne serveur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heures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8 500€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Diagnostic rapide et basculement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Identifier la cause et activer le failover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Vérifier la disponibilité du serveur (ping, console, monitoring)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Astreinte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Console IPMI/iDRAC · Grafana/Zabbix · Appel direct datacenter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Activer le serveur de failover ou le mode dégradé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Tester le failover en conditions réelles avant incident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DNS failover · Load balancer · Serveur secondaire en standby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Diagnostiquer la cause (matériel, OS, application, réseau)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Logs système · SMART disques · Température · Erreurs mémoire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📚 Causes racines typiques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Absence de redondance matérielle (RAID, alimentation double)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Failover non testé depuis plus de 6 mois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Monitoring insuffisant (alerte trop tardive)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🛡️ Mesures préventives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Architecture haute disponibilité (HA) avec failover automatique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Tests de bascule mensuels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Monitoring proactif avec alertes 24/7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🌊 Attaque DDoS (Déni de Service Distribué)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heure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0€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⏱ Activation des protections anti-DDoS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Objectif : Absorber ou filtrer le trafic malveillant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3560"/>
        <w:gridCol w:w="1200"/>
        <w:gridCol w:w="3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Activer le scrubbing center / protection DDoS de l'hébergeur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Délai d'activation : 5-15 min selon fournisseur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/ Hébergeur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OVH VAC · Cloudflare Under Attack Mode · AWS Shield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Analyser le type d'attaque (volumétrique, applicatif, protocole)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0392B"/>
                <w:sz w:val="16"/>
                <w:szCs w:val="16"/>
              </w:rPr>
              <w:t xml:space="preserve">⚠ Un DDoS peut masquer une intrusion simultanée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NetFlow · tcpdump · Tableaux de bord hébergeur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ÉLEVÉ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Mettre les règles de rate-limiting agressives sur le WAF/CDN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Cloudflare / Akamai : règles par IP, pays, user-agent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📚 Causes racines typiques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Absence de CDN/proxy de protection (IP origin exposée)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Pas de contrat de protection DDoS préventif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Capacité réseau insuffisante pour absorber le pic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🛡️ Mesures préventives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CDN avec protection DDoS intégrée (Cloudflare, Fastly)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Cacher l'IP origin derrière le CDN</w:t>
      </w:r>
    </w:p>
    <w:p>
      <w:pPr>
        <w:pStyle w:val="ListParagraph"/>
        <w:numPr>
          <w:ilvl w:val="0"/>
          <w:numId w:val="2"/>
        </w:numPr>
        <w:spacing w:after="6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Plan de communication clients en cas d'indisponibilité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C8A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Cadre Réglementaire et Conformité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ISO 22301 — Management de la Continuité d'Activité</w:t>
      </w:r>
    </w:p>
    <w:p>
      <w:pPr>
        <w:pStyle w:val="ListParagraph"/>
        <w:numPr>
          <w:ilvl w:val="0"/>
          <w:numId w:val="2"/>
        </w:numPr>
        <w:spacing w:after="60"/>
        <w:ind w:left="0" w:hanging="180"/>
      </w:pPr>
      <w:r>
        <w:rPr>
          <w:rFonts w:ascii="Arial" w:cs="Arial" w:eastAsia="Arial" w:hAnsi="Arial"/>
          <w:sz w:val="20"/>
          <w:szCs w:val="20"/>
        </w:rPr>
        <w:t xml:space="preserve">BIA (Business Impact Analysis) documentée</w:t>
      </w:r>
    </w:p>
    <w:p>
      <w:pPr>
        <w:pStyle w:val="ListParagraph"/>
        <w:numPr>
          <w:ilvl w:val="0"/>
          <w:numId w:val="2"/>
        </w:numPr>
        <w:spacing w:after="60"/>
        <w:ind w:left="1" w:hanging="180"/>
      </w:pPr>
      <w:r>
        <w:rPr>
          <w:rFonts w:ascii="Arial" w:cs="Arial" w:eastAsia="Arial" w:hAnsi="Arial"/>
          <w:sz w:val="20"/>
          <w:szCs w:val="20"/>
        </w:rPr>
        <w:t xml:space="preserve">Objectifs RTO/RPO définis et mesurés</w:t>
      </w:r>
    </w:p>
    <w:p>
      <w:pPr>
        <w:pStyle w:val="ListParagraph"/>
        <w:numPr>
          <w:ilvl w:val="0"/>
          <w:numId w:val="2"/>
        </w:numPr>
        <w:spacing w:after="60"/>
        <w:ind w:left="2" w:hanging="180"/>
      </w:pPr>
      <w:r>
        <w:rPr>
          <w:rFonts w:ascii="Arial" w:cs="Arial" w:eastAsia="Arial" w:hAnsi="Arial"/>
          <w:sz w:val="20"/>
          <w:szCs w:val="20"/>
        </w:rPr>
        <w:t xml:space="preserve">Procédures de reprise formalisées et testées</w:t>
      </w:r>
    </w:p>
    <w:p>
      <w:pPr>
        <w:pStyle w:val="ListParagraph"/>
        <w:numPr>
          <w:ilvl w:val="0"/>
          <w:numId w:val="2"/>
        </w:numPr>
        <w:spacing w:after="60"/>
        <w:ind w:left="3" w:hanging="180"/>
      </w:pPr>
      <w:r>
        <w:rPr>
          <w:rFonts w:ascii="Arial" w:cs="Arial" w:eastAsia="Arial" w:hAnsi="Arial"/>
          <w:sz w:val="20"/>
          <w:szCs w:val="20"/>
        </w:rPr>
        <w:t xml:space="preserve">Exercices de simulation planifiés (minimum 1/an)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ISO 27001 Annexe A.17 — Continuité de la Sécurité</w:t>
      </w:r>
    </w:p>
    <w:p>
      <w:pPr>
        <w:pStyle w:val="ListParagraph"/>
        <w:numPr>
          <w:ilvl w:val="0"/>
          <w:numId w:val="2"/>
        </w:numPr>
        <w:spacing w:after="60"/>
        <w:ind w:left="0" w:hanging="180"/>
      </w:pPr>
      <w:r>
        <w:rPr>
          <w:rFonts w:ascii="Arial" w:cs="Arial" w:eastAsia="Arial" w:hAnsi="Arial"/>
          <w:sz w:val="20"/>
          <w:szCs w:val="20"/>
        </w:rPr>
        <w:t xml:space="preserve">Plans de continuité intégrés à la gestion des incidents</w:t>
      </w:r>
    </w:p>
    <w:p>
      <w:pPr>
        <w:pStyle w:val="ListParagraph"/>
        <w:numPr>
          <w:ilvl w:val="0"/>
          <w:numId w:val="2"/>
        </w:numPr>
        <w:spacing w:after="60"/>
        <w:ind w:left="1" w:hanging="180"/>
      </w:pPr>
      <w:r>
        <w:rPr>
          <w:rFonts w:ascii="Arial" w:cs="Arial" w:eastAsia="Arial" w:hAnsi="Arial"/>
          <w:sz w:val="20"/>
          <w:szCs w:val="20"/>
        </w:rPr>
        <w:t xml:space="preserve">Redondance des systèmes d'information critiques</w:t>
      </w:r>
    </w:p>
    <w:p>
      <w:pPr>
        <w:pStyle w:val="ListParagraph"/>
        <w:numPr>
          <w:ilvl w:val="0"/>
          <w:numId w:val="2"/>
        </w:numPr>
        <w:spacing w:after="60"/>
        <w:ind w:left="2" w:hanging="180"/>
      </w:pPr>
      <w:r>
        <w:rPr>
          <w:rFonts w:ascii="Arial" w:cs="Arial" w:eastAsia="Arial" w:hAnsi="Arial"/>
          <w:sz w:val="20"/>
          <w:szCs w:val="20"/>
        </w:rPr>
        <w:t xml:space="preserve">Tests de reprise documentés avec résultats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RGPD — Obligations de Notification (Art. 33-34)</w:t>
      </w:r>
    </w:p>
    <w:p>
      <w:pPr>
        <w:pStyle w:val="ListParagraph"/>
        <w:numPr>
          <w:ilvl w:val="0"/>
          <w:numId w:val="2"/>
        </w:numPr>
        <w:spacing w:after="60"/>
        <w:ind w:left="0" w:hanging="180"/>
      </w:pPr>
      <w:r>
        <w:rPr>
          <w:rFonts w:ascii="Arial" w:cs="Arial" w:eastAsia="Arial" w:hAnsi="Arial"/>
          <w:sz w:val="20"/>
          <w:szCs w:val="20"/>
        </w:rPr>
        <w:t xml:space="preserve">Notification CNIL sous 72 heures en cas de violation de données</w:t>
      </w:r>
    </w:p>
    <w:p>
      <w:pPr>
        <w:pStyle w:val="ListParagraph"/>
        <w:numPr>
          <w:ilvl w:val="0"/>
          <w:numId w:val="2"/>
        </w:numPr>
        <w:spacing w:after="60"/>
        <w:ind w:left="1" w:hanging="180"/>
      </w:pPr>
      <w:r>
        <w:rPr>
          <w:rFonts w:ascii="Arial" w:cs="Arial" w:eastAsia="Arial" w:hAnsi="Arial"/>
          <w:sz w:val="20"/>
          <w:szCs w:val="20"/>
        </w:rPr>
        <w:t xml:space="preserve">Information des personnes concernées si risque élevé</w:t>
      </w:r>
    </w:p>
    <w:p>
      <w:pPr>
        <w:pStyle w:val="ListParagraph"/>
        <w:numPr>
          <w:ilvl w:val="0"/>
          <w:numId w:val="2"/>
        </w:numPr>
        <w:spacing w:after="60"/>
        <w:ind w:left="2" w:hanging="180"/>
      </w:pPr>
      <w:r>
        <w:rPr>
          <w:rFonts w:ascii="Arial" w:cs="Arial" w:eastAsia="Arial" w:hAnsi="Arial"/>
          <w:sz w:val="20"/>
          <w:szCs w:val="20"/>
        </w:rPr>
        <w:t xml:space="preserve">Registre des violations maintenu à jour (Art. 30)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DORA (Digital Operational Resilience Act — 2025)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Applicable aux entités du secteur financier. Délai de notification réduit à 4 heures. Tests TLPT obligatoires tous les 3 ans.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Rédigé par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Validé par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Approuvé par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 Générale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Version 1.0 · 27/02/2026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/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PCA — TechCorp SARL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2026-02-27T18:17:36.400Z</dcterms:created>
  <dcterms:modified xsi:type="dcterms:W3CDTF">2026-02-27T18:17:36.401Z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