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s-ES"/>
        </w:rPr>
        <w:id w:val="-1103873849"/>
        <w:docPartObj>
          <w:docPartGallery w:val="Table of Contents"/>
          <w:docPartUnique/>
        </w:docPartObj>
      </w:sdtPr>
      <w:sdtEndPr>
        <w:rPr>
          <w:rFonts w:ascii="Garamond" w:hAnsi="Garamond"/>
        </w:rPr>
      </w:sdtEndPr>
      <w:sdtContent>
        <w:p w14:paraId="3C4C8F91" w14:textId="77777777" w:rsidR="003D3507" w:rsidRPr="00BA41D1" w:rsidRDefault="003D3507" w:rsidP="003D3507">
          <w:pPr>
            <w:pStyle w:val="TtuloTDC"/>
            <w:rPr>
              <w:rFonts w:ascii="Garamond" w:hAnsi="Garamond"/>
              <w:b/>
              <w:bCs/>
              <w:color w:val="auto"/>
            </w:rPr>
          </w:pPr>
          <w:r w:rsidRPr="00BA41D1">
            <w:rPr>
              <w:rFonts w:ascii="Garamond" w:hAnsi="Garamond"/>
              <w:b/>
              <w:bCs/>
              <w:color w:val="auto"/>
              <w:lang w:val="es-ES"/>
            </w:rPr>
            <w:t>CONTENIDO</w:t>
          </w:r>
        </w:p>
        <w:p w14:paraId="602C85A4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r w:rsidRPr="00BA41D1">
            <w:rPr>
              <w:rFonts w:ascii="Garamond" w:hAnsi="Garamond"/>
            </w:rPr>
            <w:fldChar w:fldCharType="begin"/>
          </w:r>
          <w:r w:rsidRPr="00BA41D1">
            <w:rPr>
              <w:rFonts w:ascii="Garamond" w:hAnsi="Garamond"/>
            </w:rPr>
            <w:instrText xml:space="preserve"> TOC \o "1-3" \h \z \u </w:instrText>
          </w:r>
          <w:r w:rsidRPr="00BA41D1">
            <w:rPr>
              <w:rFonts w:ascii="Garamond" w:hAnsi="Garamond"/>
            </w:rPr>
            <w:fldChar w:fldCharType="separate"/>
          </w:r>
          <w:hyperlink w:anchor="_Toc22903025" w:history="1">
            <w:r w:rsidRPr="00BA41D1">
              <w:rPr>
                <w:rStyle w:val="Hipervnculo"/>
                <w:rFonts w:ascii="Garamond" w:hAnsi="Garamond"/>
                <w:noProof/>
              </w:rPr>
              <w:t>Convenciones de estilo: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70FC7DC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6" w:history="1">
            <w:r w:rsidRPr="00BA41D1">
              <w:rPr>
                <w:rStyle w:val="Hipervnculo"/>
                <w:rFonts w:ascii="Garamond" w:hAnsi="Garamond"/>
                <w:noProof/>
              </w:rPr>
              <w:t>Resumen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_Toc22903026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3731040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7" w:history="1">
            <w:r w:rsidRPr="00BA41D1">
              <w:rPr>
                <w:rStyle w:val="Hipervnculo"/>
                <w:rFonts w:ascii="Garamond" w:hAnsi="Garamond"/>
                <w:noProof/>
              </w:rPr>
              <w:t>Preludio</w:t>
            </w:r>
            <w:bookmarkStart w:id="0" w:name="_GoBack"/>
            <w:bookmarkEnd w:id="0"/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_Toc22903027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0432C1D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8" w:history="1">
            <w:r w:rsidRPr="00BA41D1">
              <w:rPr>
                <w:rStyle w:val="Hipervnculo"/>
                <w:rFonts w:ascii="Garamond" w:hAnsi="Garamond"/>
                <w:noProof/>
              </w:rPr>
              <w:t>Introducción: La neorreación devela la crisis del Estado moderno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_Toc22903028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C00053C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9" w:history="1">
            <w:r w:rsidRPr="00BA41D1">
              <w:rPr>
                <w:rStyle w:val="Hipervnculo"/>
                <w:rFonts w:ascii="Garamond" w:hAnsi="Garamond"/>
                <w:noProof/>
              </w:rPr>
              <w:t>Según los neorreaccionarios, la Ilustración se derrite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_Toc22903029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7D5D18C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0" w:history="1">
            <w:r w:rsidRPr="00BA41D1">
              <w:rPr>
                <w:rStyle w:val="Hipervnculo"/>
                <w:rFonts w:ascii="Garamond" w:hAnsi="Garamond"/>
                <w:noProof/>
              </w:rPr>
              <w:t>La política folk es insuficiente para crear una alternativa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_Toc22903030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0D4C059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1" w:history="1">
            <w:r w:rsidRPr="00BA41D1">
              <w:rPr>
                <w:rStyle w:val="Hipervnculo"/>
                <w:rFonts w:ascii="Garamond" w:hAnsi="Garamond"/>
                <w:noProof/>
              </w:rPr>
              <w:t>La época de Ilustración es también llamada el siglo de Federico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_Toc22903031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10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E40408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2" w:history="1">
            <w:r w:rsidRPr="00BA41D1">
              <w:rPr>
                <w:rStyle w:val="Hipervnculo"/>
                <w:rFonts w:ascii="Garamond" w:hAnsi="Garamond"/>
                <w:noProof/>
              </w:rPr>
              <w:t>El neoliberalismo se ha apropiado del futuro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_Toc22903032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12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27B5763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3" w:history="1">
            <w:r w:rsidRPr="00BA41D1">
              <w:rPr>
                <w:rStyle w:val="Hipervnculo"/>
                <w:rFonts w:ascii="Garamond" w:hAnsi="Garamond"/>
                <w:noProof/>
              </w:rPr>
              <w:t xml:space="preserve">El problema político </w:t>
            </w:r>
            <w:r w:rsidRPr="00BA41D1">
              <w:rPr>
                <w:rStyle w:val="Hipervnculo"/>
                <w:rFonts w:ascii="Garamond" w:hAnsi="Garamond"/>
                <w:i/>
                <w:noProof/>
              </w:rPr>
              <w:t>real</w:t>
            </w:r>
            <w:r w:rsidRPr="00BA41D1">
              <w:rPr>
                <w:rStyle w:val="Hipervnculo"/>
                <w:rFonts w:ascii="Garamond" w:hAnsi="Garamond"/>
                <w:noProof/>
              </w:rPr>
              <w:t xml:space="preserve"> es la captura tecnológica del deseo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_Toc22903033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14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0D43872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4" w:history="1">
            <w:r w:rsidRPr="00BA41D1">
              <w:rPr>
                <w:rStyle w:val="Hipervnculo"/>
                <w:rFonts w:ascii="Garamond" w:hAnsi="Garamond"/>
                <w:noProof/>
              </w:rPr>
              <w:t>Capítulo 1: El Estado moderno no es otra cosa que la religión de Estado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_Toc22903034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16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8865232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5" w:history="1">
            <w:r w:rsidRPr="00BA41D1">
              <w:rPr>
                <w:rStyle w:val="Hipervnculo"/>
                <w:rFonts w:ascii="Garamond" w:hAnsi="Garamond"/>
                <w:noProof/>
              </w:rPr>
              <w:t>El Estado se vale de una máquina de guerra capitalista y su propio aparato de captura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17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40C077A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6" w:history="1">
            <w:r w:rsidRPr="00BA41D1">
              <w:rPr>
                <w:rStyle w:val="Hipervnculo"/>
                <w:rFonts w:ascii="Garamond" w:hAnsi="Garamond"/>
                <w:noProof/>
              </w:rPr>
              <w:t>Bajo el capitalismo, la máquina de guerra capitalista produce mientras el aparato de captura del Estado sustrae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_Toc22903036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20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87BFD2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7" w:history="1">
            <w:r w:rsidRPr="00BA41D1">
              <w:rPr>
                <w:rStyle w:val="Hipervnculo"/>
                <w:rFonts w:ascii="Garamond" w:hAnsi="Garamond"/>
                <w:noProof/>
              </w:rPr>
              <w:t>El capitalismo es un virus ultra edípico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_Toc22903037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ED68F5D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8" w:history="1">
            <w:r w:rsidRPr="00BA41D1">
              <w:rPr>
                <w:rStyle w:val="Hipervnculo"/>
                <w:rFonts w:ascii="Garamond" w:hAnsi="Garamond"/>
                <w:noProof/>
              </w:rPr>
              <w:t>El Estado moderno instaura la religión de Estado para poner fin a la guerra de religiones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_Toc22903038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846C5D8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9" w:history="1">
            <w:r w:rsidRPr="00BA41D1">
              <w:rPr>
                <w:rStyle w:val="Hipervnculo"/>
                <w:rFonts w:ascii="Garamond" w:hAnsi="Garamond"/>
                <w:noProof/>
              </w:rPr>
              <w:t>La soberanía proviene el cuerpo de Cristo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_Toc22903039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25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E20A7E3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0" w:history="1">
            <w:r w:rsidRPr="00BA41D1">
              <w:rPr>
                <w:rStyle w:val="Hipervnculo"/>
                <w:rFonts w:ascii="Garamond" w:hAnsi="Garamond"/>
                <w:noProof/>
              </w:rPr>
              <w:t>La fe y la Crítica son formas de neutralidad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_Toc22903040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26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5D5A70C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1" w:history="1">
            <w:r w:rsidRPr="00BA41D1">
              <w:rPr>
                <w:rStyle w:val="Hipervnculo"/>
                <w:rFonts w:ascii="Garamond" w:hAnsi="Garamond"/>
                <w:noProof/>
              </w:rPr>
              <w:t>El Estado universal es, a su vez, una condición necesaria para la pluralidad ética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_Toc22903041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07673AB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2" w:history="1">
            <w:r w:rsidRPr="00BA41D1">
              <w:rPr>
                <w:rStyle w:val="Hipervnculo"/>
                <w:rFonts w:ascii="Garamond" w:hAnsi="Garamond"/>
                <w:noProof/>
              </w:rPr>
              <w:t>La guerra de religiones termina con la conciencia del miedo, por un mero instinto de preservación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_Toc22903042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28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B4027C8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3" w:history="1">
            <w:r w:rsidRPr="00BA41D1">
              <w:rPr>
                <w:rStyle w:val="Hipervnculo"/>
                <w:rFonts w:ascii="Garamond" w:hAnsi="Garamond"/>
                <w:noProof/>
              </w:rPr>
              <w:t>La religión de Estado es la guerra de una persona contra sí misma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_Toc22903043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31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7431A7E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4" w:history="1">
            <w:r w:rsidRPr="00BA41D1">
              <w:rPr>
                <w:rStyle w:val="Hipervnculo"/>
                <w:rFonts w:ascii="Garamond" w:hAnsi="Garamond"/>
                <w:noProof/>
              </w:rPr>
              <w:t>Los sujetos del Estado moderno son el súbdito y el soberano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_Toc22903044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45C30EA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5" w:history="1">
            <w:r w:rsidRPr="00BA41D1">
              <w:rPr>
                <w:rStyle w:val="Hipervnculo"/>
                <w:rFonts w:ascii="Garamond" w:hAnsi="Garamond"/>
                <w:noProof/>
              </w:rPr>
              <w:t>Capítulo 2: El rostro contemporáneo del Estado moderno es el Imperio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FCD2C05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6" w:history="1">
            <w:r w:rsidRPr="00BA41D1">
              <w:rPr>
                <w:rStyle w:val="Hipervnculo"/>
                <w:rFonts w:ascii="Garamond" w:hAnsi="Garamond"/>
                <w:noProof/>
              </w:rPr>
              <w:t>Las formaciones sociales se configuran por procesos maquínicos y por ciertas capturas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_Toc22903046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35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D1E7955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7" w:history="1">
            <w:r w:rsidRPr="00BA41D1">
              <w:rPr>
                <w:rStyle w:val="Hipervnculo"/>
                <w:rFonts w:ascii="Garamond" w:hAnsi="Garamond"/>
                <w:noProof/>
              </w:rPr>
              <w:t>El aparato de Estado cobra las rentas y reproduce la deuda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_Toc22903047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5219097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8" w:history="1">
            <w:r w:rsidRPr="00BA41D1">
              <w:rPr>
                <w:rStyle w:val="Hipervnculo"/>
                <w:rFonts w:ascii="Garamond" w:hAnsi="Garamond"/>
                <w:noProof/>
              </w:rPr>
              <w:t>Un dispositivo es la instancia molecular del aparato de captura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_Toc22903048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39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3B4BB1C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9" w:history="1">
            <w:r w:rsidRPr="00BA41D1">
              <w:rPr>
                <w:rStyle w:val="Hipervnculo"/>
                <w:rFonts w:ascii="Garamond" w:hAnsi="Garamond"/>
                <w:noProof/>
              </w:rPr>
              <w:t>El Estado moderno se vale de un doble monopolio sobre lo político y sobre la crítica, sus mecanismos son la publicidad y la policía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_Toc22903049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41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77AFB3D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0" w:history="1">
            <w:r w:rsidRPr="00BA41D1">
              <w:rPr>
                <w:rStyle w:val="Hipervnculo"/>
                <w:rFonts w:ascii="Garamond" w:hAnsi="Garamond"/>
                <w:noProof/>
              </w:rPr>
              <w:t>En el Imperio, la publicidad muta al Espectáculo y la policía al Biopoder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_Toc22903050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42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4051361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1" w:history="1">
            <w:r w:rsidRPr="00BA41D1">
              <w:rPr>
                <w:rStyle w:val="Hipervnculo"/>
                <w:rFonts w:ascii="Garamond" w:hAnsi="Garamond"/>
                <w:noProof/>
              </w:rPr>
              <w:t>El posfordismo es la informatización global del trabajo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_Toc22903051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46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1C516E7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2" w:history="1">
            <w:r w:rsidRPr="00BA41D1">
              <w:rPr>
                <w:rStyle w:val="Hipervnculo"/>
                <w:rFonts w:ascii="Garamond" w:hAnsi="Garamond"/>
                <w:noProof/>
              </w:rPr>
              <w:t>La industria farmacopornográfica es el paradigma de toda industria cultural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_Toc22903052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50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10C6B45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3" w:history="1">
            <w:r w:rsidRPr="00BA41D1">
              <w:rPr>
                <w:rStyle w:val="Hipervnculo"/>
                <w:rFonts w:ascii="Garamond" w:hAnsi="Garamond"/>
                <w:noProof/>
              </w:rPr>
              <w:t>Capítulo 3: El Bloom es el sujeto económico del Imperio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_Toc22903053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53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47BF742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4" w:history="1">
            <w:r w:rsidRPr="00BA41D1">
              <w:rPr>
                <w:rStyle w:val="Hipervnculo"/>
                <w:rFonts w:ascii="Garamond" w:hAnsi="Garamond"/>
                <w:noProof/>
              </w:rPr>
              <w:t>El rostro contemporáneo de la ciudadanía es el Bloom u hombre masa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_Toc22903054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2C95380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5" w:history="1">
            <w:r w:rsidRPr="00BA41D1">
              <w:rPr>
                <w:rStyle w:val="Hipervnculo"/>
                <w:rFonts w:ascii="Garamond" w:hAnsi="Garamond"/>
                <w:noProof/>
              </w:rPr>
              <w:t xml:space="preserve">En el trabajo </w:t>
            </w:r>
            <w:r w:rsidRPr="00BA41D1">
              <w:rPr>
                <w:rStyle w:val="Hipervnculo"/>
                <w:rFonts w:ascii="Garamond" w:hAnsi="Garamond"/>
                <w:i/>
                <w:noProof/>
              </w:rPr>
              <w:t>sujeta</w:t>
            </w:r>
            <w:r w:rsidRPr="00BA41D1">
              <w:rPr>
                <w:rStyle w:val="Hipervnculo"/>
                <w:rFonts w:ascii="Garamond" w:hAnsi="Garamond"/>
                <w:noProof/>
              </w:rPr>
              <w:t xml:space="preserve"> en las dimensiones libidinal-molecular e industrial-molar del Imperio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55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0953C01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6" w:history="1">
            <w:r w:rsidRPr="00BA41D1">
              <w:rPr>
                <w:rStyle w:val="Hipervnculo"/>
                <w:rFonts w:ascii="Garamond" w:hAnsi="Garamond"/>
                <w:noProof/>
              </w:rPr>
              <w:t>Bloom, es decir, el ciudadano soldado consumidor espectador es/tá sujeto a través de la pantalla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_Toc22903056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82BB86C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7" w:history="1">
            <w:r w:rsidRPr="00BA41D1">
              <w:rPr>
                <w:rStyle w:val="Hipervnculo"/>
                <w:rFonts w:ascii="Garamond" w:hAnsi="Garamond"/>
                <w:noProof/>
              </w:rPr>
              <w:t>La falsa conciencia ilustrada, pero triste, del neorreaccionario, revela la crisis de la religión de Estado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_Toc22903057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59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04EDAB5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8" w:history="1">
            <w:r w:rsidRPr="00BA41D1">
              <w:rPr>
                <w:rStyle w:val="Hipervnculo"/>
                <w:rFonts w:ascii="Garamond" w:hAnsi="Garamond"/>
                <w:noProof/>
              </w:rPr>
              <w:t>Capítulo 4: La posición tecnocrítica es la destitución del Imperio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_Toc22903058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63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C291291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9" w:history="1">
            <w:r w:rsidRPr="00BA41D1">
              <w:rPr>
                <w:rStyle w:val="Hipervnculo"/>
                <w:rFonts w:ascii="Garamond" w:hAnsi="Garamond"/>
                <w:noProof/>
              </w:rPr>
              <w:t>Un Partido sólo tiene sentido si conduce a la destitución del Imperio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_Toc22903059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64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EBA2315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0" w:history="1">
            <w:r w:rsidRPr="00BA41D1">
              <w:rPr>
                <w:rStyle w:val="Hipervnculo"/>
                <w:rFonts w:ascii="Garamond" w:hAnsi="Garamond"/>
                <w:noProof/>
              </w:rPr>
              <w:t>El Partido imaginario se constituye del Bloom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_Toc22903060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64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5E0E61F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1" w:history="1">
            <w:r w:rsidRPr="00BA41D1">
              <w:rPr>
                <w:rStyle w:val="Hipervnculo"/>
                <w:rFonts w:ascii="Garamond" w:hAnsi="Garamond"/>
                <w:noProof/>
              </w:rPr>
              <w:t>¿Una hegemonía del sentido común?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_Toc22903061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67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FE91916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2" w:history="1">
            <w:r w:rsidRPr="00BA41D1">
              <w:rPr>
                <w:rStyle w:val="Hipervnculo"/>
                <w:rFonts w:ascii="Garamond" w:hAnsi="Garamond"/>
                <w:noProof/>
              </w:rPr>
              <w:t>¿Necesitamos más manifiestos políticos?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_Toc22903062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68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745B6E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3" w:history="1">
            <w:r w:rsidRPr="00BA41D1">
              <w:rPr>
                <w:rStyle w:val="Hipervnculo"/>
                <w:rFonts w:ascii="Garamond" w:hAnsi="Garamond"/>
                <w:noProof/>
              </w:rPr>
              <w:t>Las posibilidades del Partido en tiempos del Imperio se encuentran en plataformas para la destitución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_Toc22903063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71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6E436CB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4" w:history="1">
            <w:r w:rsidRPr="00BA41D1">
              <w:rPr>
                <w:rStyle w:val="Hipervnculo"/>
                <w:rFonts w:ascii="Garamond" w:hAnsi="Garamond"/>
                <w:noProof/>
              </w:rPr>
              <w:t>Toda acción crítica toma una posición sobre la estructura productiva y de captura del Estado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_Toc22903064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77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C16ED8D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5" w:history="1">
            <w:r w:rsidRPr="00BA41D1">
              <w:rPr>
                <w:rStyle w:val="Hipervnculo"/>
                <w:rFonts w:ascii="Garamond" w:hAnsi="Garamond"/>
                <w:noProof/>
              </w:rPr>
              <w:t>El Estado y el capitalismo coexisten en una simbiosis parasitaria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83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6A411F6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6" w:history="1">
            <w:r w:rsidRPr="00BA41D1">
              <w:rPr>
                <w:rStyle w:val="Hipervnculo"/>
                <w:rFonts w:ascii="Garamond" w:hAnsi="Garamond"/>
                <w:noProof/>
              </w:rPr>
              <w:t>Las transacciones son herramientas no (del todo) supeditadas al orden mercantil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_Toc22903066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88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F51FF1C" w14:textId="77777777" w:rsidR="003D3507" w:rsidRPr="00BA41D1" w:rsidRDefault="003D3507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7" w:history="1">
            <w:r w:rsidRPr="00BA41D1">
              <w:rPr>
                <w:rStyle w:val="Hipervnculo"/>
                <w:rFonts w:ascii="Garamond" w:hAnsi="Garamond"/>
                <w:noProof/>
              </w:rPr>
              <w:t>La tecnocrítica responde a la neorreacción, a la guerra de religiones y al universalismo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_Toc22903067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92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7B488A6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8" w:history="1">
            <w:r w:rsidRPr="00BA41D1">
              <w:rPr>
                <w:rStyle w:val="Hipervnculo"/>
                <w:rFonts w:ascii="Garamond" w:hAnsi="Garamond"/>
                <w:noProof/>
              </w:rPr>
              <w:t>La sabiduría vital del quinismo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_Toc22903068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95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3EB19FA" w14:textId="77777777" w:rsidR="003D3507" w:rsidRPr="00BA41D1" w:rsidRDefault="003D3507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9" w:history="1">
            <w:r w:rsidRPr="00BA41D1">
              <w:rPr>
                <w:rStyle w:val="Hipervnculo"/>
                <w:rFonts w:ascii="Garamond" w:hAnsi="Garamond"/>
                <w:noProof/>
              </w:rPr>
              <w:t>Bibliografía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_Toc22903069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96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D506536" w14:textId="77777777" w:rsidR="003D3507" w:rsidRDefault="003D3507" w:rsidP="003D3507">
          <w:pPr>
            <w:rPr>
              <w:rFonts w:ascii="Garamond" w:hAnsi="Garamond"/>
              <w:b/>
              <w:bCs/>
              <w:lang w:val="es-ES"/>
            </w:rPr>
          </w:pPr>
          <w:r w:rsidRPr="00BA41D1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p w14:paraId="62178B6C" w14:textId="77777777" w:rsidR="003D3507" w:rsidRDefault="003D3507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4959734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  <w:bookmarkStart w:id="1" w:name="universidad-nacional-autónoma-de-méxico"/>
      <w:r w:rsidRPr="001777FF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1CDD6F" wp14:editId="0A67BA3A">
            <wp:simplePos x="0" y="0"/>
            <wp:positionH relativeFrom="column">
              <wp:posOffset>1935208</wp:posOffset>
            </wp:positionH>
            <wp:positionV relativeFrom="paragraph">
              <wp:posOffset>-191770</wp:posOffset>
            </wp:positionV>
            <wp:extent cx="1747309" cy="1963992"/>
            <wp:effectExtent l="0" t="0" r="0" b="0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09" cy="1963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5099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2DDEEBF4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5C0EB88B" w14:textId="77777777" w:rsidR="003D3507" w:rsidRPr="001777FF" w:rsidRDefault="003D3507" w:rsidP="003D3507">
      <w:pPr>
        <w:pStyle w:val="Textoindependiente"/>
        <w:jc w:val="right"/>
        <w:rPr>
          <w:rFonts w:ascii="Garamond" w:hAnsi="Garamond"/>
        </w:rPr>
      </w:pPr>
    </w:p>
    <w:p w14:paraId="3BCAA295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</w:p>
    <w:p w14:paraId="67CC1228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</w:p>
    <w:p w14:paraId="1AE1752E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  <w:r w:rsidRPr="001777FF">
        <w:rPr>
          <w:rFonts w:ascii="Garamond" w:hAnsi="Garamond"/>
          <w:color w:val="auto"/>
        </w:rPr>
        <w:t>UNIVERSIDAD NACIONAL AUTÓNOMA DE MÉXICO</w:t>
      </w:r>
      <w:bookmarkEnd w:id="1"/>
    </w:p>
    <w:p w14:paraId="565927B9" w14:textId="77777777" w:rsidR="003D3507" w:rsidRPr="001777FF" w:rsidRDefault="003D3507" w:rsidP="003D3507">
      <w:pPr>
        <w:pStyle w:val="Ttulo3"/>
        <w:jc w:val="center"/>
        <w:rPr>
          <w:rFonts w:ascii="Garamond" w:hAnsi="Garamond"/>
          <w:b w:val="0"/>
          <w:bCs w:val="0"/>
          <w:color w:val="auto"/>
        </w:rPr>
      </w:pPr>
      <w:r>
        <w:rPr>
          <w:rFonts w:ascii="Garamond" w:hAnsi="Garamond"/>
          <w:b w:val="0"/>
          <w:bCs w:val="0"/>
          <w:color w:val="auto"/>
        </w:rPr>
        <w:t>SISTEMA DE UNIVERSIDAD ABIERTA Y A DISTANCIA</w:t>
      </w:r>
    </w:p>
    <w:p w14:paraId="3555BF05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358E025A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23FD00E0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3C176479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68763A4A" w14:textId="77777777" w:rsidR="003D3507" w:rsidRPr="001777FF" w:rsidRDefault="003D3507" w:rsidP="003D3507">
      <w:pPr>
        <w:pStyle w:val="Ttulo2"/>
        <w:jc w:val="center"/>
        <w:rPr>
          <w:rFonts w:ascii="Garamond" w:hAnsi="Garamond"/>
          <w:color w:val="auto"/>
        </w:rPr>
      </w:pPr>
      <w:bookmarkStart w:id="2" w:name="X96ca3f14b68a1041ffeda70eb3c39119c5d49e7"/>
      <w:r w:rsidRPr="001777FF">
        <w:rPr>
          <w:rFonts w:ascii="Garamond" w:hAnsi="Garamond"/>
          <w:color w:val="auto"/>
        </w:rPr>
        <w:t xml:space="preserve">ESTADO Y ECONOMÍA DESDE </w:t>
      </w:r>
      <w:r w:rsidRPr="001777FF">
        <w:rPr>
          <w:rFonts w:ascii="Garamond" w:hAnsi="Garamond"/>
          <w:i/>
          <w:color w:val="auto"/>
        </w:rPr>
        <w:t>TIQQUN</w:t>
      </w:r>
      <w:r w:rsidRPr="001777FF">
        <w:rPr>
          <w:rFonts w:ascii="Garamond" w:hAnsi="Garamond"/>
          <w:color w:val="auto"/>
        </w:rPr>
        <w:t>:</w:t>
      </w:r>
      <w:r w:rsidRPr="001777FF">
        <w:rPr>
          <w:rFonts w:ascii="Garamond" w:hAnsi="Garamond"/>
          <w:color w:val="auto"/>
        </w:rPr>
        <w:br/>
        <w:t>PERSPECTIVAS DE ACCIÓN CRÍTICA</w:t>
      </w:r>
      <w:bookmarkEnd w:id="2"/>
    </w:p>
    <w:p w14:paraId="1AA71BE6" w14:textId="77777777" w:rsidR="003D3507" w:rsidRPr="001777FF" w:rsidRDefault="003D3507" w:rsidP="003D3507">
      <w:pPr>
        <w:pStyle w:val="Ttulo1"/>
        <w:jc w:val="center"/>
        <w:rPr>
          <w:rFonts w:ascii="Garamond" w:hAnsi="Garamond"/>
          <w:color w:val="auto"/>
        </w:rPr>
      </w:pPr>
      <w:bookmarkStart w:id="3" w:name="t-e-s-i-s"/>
    </w:p>
    <w:p w14:paraId="17E6196E" w14:textId="77777777" w:rsidR="003D3507" w:rsidRPr="001777FF" w:rsidRDefault="003D3507" w:rsidP="003D3507">
      <w:pPr>
        <w:pStyle w:val="Ttulo1"/>
        <w:jc w:val="center"/>
        <w:rPr>
          <w:rFonts w:ascii="Garamond" w:hAnsi="Garamond"/>
          <w:color w:val="auto"/>
          <w:sz w:val="44"/>
          <w:szCs w:val="44"/>
        </w:rPr>
      </w:pPr>
    </w:p>
    <w:p w14:paraId="716A4063" w14:textId="77777777" w:rsidR="003D3507" w:rsidRPr="001777FF" w:rsidRDefault="003D3507" w:rsidP="003D3507">
      <w:pPr>
        <w:pStyle w:val="Ttulo1"/>
        <w:spacing w:before="120"/>
        <w:jc w:val="center"/>
        <w:rPr>
          <w:rFonts w:ascii="Garamond" w:hAnsi="Garamond"/>
          <w:color w:val="auto"/>
          <w:sz w:val="44"/>
          <w:szCs w:val="44"/>
        </w:rPr>
      </w:pPr>
      <w:proofErr w:type="gramStart"/>
      <w:r w:rsidRPr="001777FF">
        <w:rPr>
          <w:rFonts w:ascii="Garamond" w:hAnsi="Garamond"/>
          <w:color w:val="auto"/>
          <w:sz w:val="44"/>
          <w:szCs w:val="44"/>
        </w:rPr>
        <w:t>T  E</w:t>
      </w:r>
      <w:proofErr w:type="gramEnd"/>
      <w:r w:rsidRPr="001777FF">
        <w:rPr>
          <w:rFonts w:ascii="Garamond" w:hAnsi="Garamond"/>
          <w:color w:val="auto"/>
          <w:sz w:val="44"/>
          <w:szCs w:val="44"/>
        </w:rPr>
        <w:t xml:space="preserve">  S  I  S</w:t>
      </w:r>
      <w:bookmarkEnd w:id="3"/>
    </w:p>
    <w:p w14:paraId="14351559" w14:textId="77777777" w:rsidR="003D3507" w:rsidRPr="001777FF" w:rsidRDefault="003D3507" w:rsidP="003D3507">
      <w:pPr>
        <w:pStyle w:val="Ttulo4"/>
        <w:spacing w:before="120"/>
        <w:jc w:val="center"/>
        <w:rPr>
          <w:rFonts w:ascii="Garamond" w:hAnsi="Garamond"/>
          <w:b w:val="0"/>
          <w:bCs w:val="0"/>
          <w:color w:val="auto"/>
        </w:rPr>
      </w:pPr>
      <w:bookmarkStart w:id="4" w:name="que-para-optar-por-el-grado-de"/>
      <w:r w:rsidRPr="001777FF">
        <w:rPr>
          <w:rFonts w:ascii="Garamond" w:hAnsi="Garamond"/>
          <w:b w:val="0"/>
          <w:bCs w:val="0"/>
          <w:color w:val="auto"/>
        </w:rPr>
        <w:t>QUE PARA OPTAR POR EL GRADO DE</w:t>
      </w:r>
      <w:bookmarkEnd w:id="4"/>
    </w:p>
    <w:p w14:paraId="5380A2B7" w14:textId="77777777" w:rsidR="003D3507" w:rsidRPr="001777FF" w:rsidRDefault="003D3507" w:rsidP="003D3507">
      <w:pPr>
        <w:pStyle w:val="Ttulo4"/>
        <w:spacing w:before="120"/>
        <w:jc w:val="center"/>
        <w:rPr>
          <w:rFonts w:ascii="Garamond" w:hAnsi="Garamond"/>
          <w:color w:val="auto"/>
          <w:sz w:val="32"/>
          <w:szCs w:val="32"/>
        </w:rPr>
      </w:pPr>
      <w:bookmarkStart w:id="5" w:name="licenciado-en-filosofía"/>
      <w:r w:rsidRPr="001777FF">
        <w:rPr>
          <w:rFonts w:ascii="Garamond" w:hAnsi="Garamond"/>
          <w:color w:val="auto"/>
          <w:sz w:val="32"/>
          <w:szCs w:val="32"/>
        </w:rPr>
        <w:t>LICENCIADO EN FILOSOFÍA</w:t>
      </w:r>
      <w:bookmarkEnd w:id="5"/>
    </w:p>
    <w:p w14:paraId="08EF26D8" w14:textId="77777777" w:rsidR="003D3507" w:rsidRPr="001777FF" w:rsidRDefault="003D3507" w:rsidP="003D3507">
      <w:pPr>
        <w:pStyle w:val="Ttulo3"/>
        <w:spacing w:before="120"/>
        <w:jc w:val="center"/>
        <w:rPr>
          <w:rFonts w:ascii="Garamond" w:hAnsi="Garamond"/>
          <w:color w:val="auto"/>
        </w:rPr>
      </w:pPr>
      <w:bookmarkStart w:id="6" w:name="presenta"/>
    </w:p>
    <w:p w14:paraId="59B1D035" w14:textId="77777777" w:rsidR="003D3507" w:rsidRPr="001777FF" w:rsidRDefault="003D3507" w:rsidP="003D3507">
      <w:pPr>
        <w:pStyle w:val="Ttulo3"/>
        <w:spacing w:before="120"/>
        <w:jc w:val="center"/>
        <w:rPr>
          <w:rFonts w:ascii="Garamond" w:hAnsi="Garamond"/>
          <w:color w:val="auto"/>
        </w:rPr>
      </w:pPr>
      <w:r w:rsidRPr="001777FF">
        <w:rPr>
          <w:rFonts w:ascii="Garamond" w:hAnsi="Garamond"/>
          <w:b w:val="0"/>
          <w:bCs w:val="0"/>
          <w:color w:val="auto"/>
        </w:rPr>
        <w:t>PRESENTA</w:t>
      </w:r>
      <w:r w:rsidRPr="001777FF">
        <w:rPr>
          <w:rFonts w:ascii="Garamond" w:hAnsi="Garamond"/>
          <w:color w:val="auto"/>
        </w:rPr>
        <w:t>:</w:t>
      </w:r>
      <w:bookmarkEnd w:id="6"/>
    </w:p>
    <w:p w14:paraId="158D73BF" w14:textId="77777777" w:rsidR="003D3507" w:rsidRPr="001777FF" w:rsidRDefault="003D3507" w:rsidP="003D3507">
      <w:pPr>
        <w:pStyle w:val="Ttulo4"/>
        <w:jc w:val="center"/>
        <w:rPr>
          <w:rFonts w:ascii="Garamond" w:hAnsi="Garamond"/>
          <w:color w:val="auto"/>
          <w:sz w:val="32"/>
          <w:szCs w:val="32"/>
        </w:rPr>
      </w:pPr>
      <w:bookmarkStart w:id="7" w:name="angel-de-jesús-mora-morales"/>
      <w:r w:rsidRPr="001777FF">
        <w:rPr>
          <w:rFonts w:ascii="Garamond" w:hAnsi="Garamond"/>
          <w:color w:val="auto"/>
          <w:sz w:val="32"/>
          <w:szCs w:val="32"/>
        </w:rPr>
        <w:t>ANGEL DE JESÚS MORA MORALES</w:t>
      </w:r>
      <w:bookmarkEnd w:id="7"/>
    </w:p>
    <w:p w14:paraId="6E9E2ED7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4577E0BF" w14:textId="77777777" w:rsidR="003D3507" w:rsidRPr="001777FF" w:rsidRDefault="003D3507" w:rsidP="003D3507">
      <w:pPr>
        <w:pStyle w:val="Ttulo3"/>
        <w:spacing w:before="120"/>
        <w:jc w:val="center"/>
        <w:rPr>
          <w:rFonts w:ascii="Garamond" w:hAnsi="Garamond"/>
          <w:color w:val="auto"/>
        </w:rPr>
      </w:pPr>
      <w:bookmarkStart w:id="8" w:name="tutor-dr.-alberto-fernando-ruiz-méndez"/>
      <w:r w:rsidRPr="001777FF">
        <w:rPr>
          <w:rFonts w:ascii="Garamond" w:hAnsi="Garamond"/>
          <w:color w:val="auto"/>
        </w:rPr>
        <w:t>TUTOR: DR. ALBERTO FERNANDO RUIZ MÉNDEZ</w:t>
      </w:r>
      <w:bookmarkEnd w:id="8"/>
    </w:p>
    <w:p w14:paraId="07B548F3" w14:textId="486000D0" w:rsidR="001777FF" w:rsidRPr="001777FF" w:rsidRDefault="003D3507" w:rsidP="003D3507">
      <w:pPr>
        <w:pStyle w:val="Textoindependiente"/>
        <w:jc w:val="center"/>
        <w:rPr>
          <w:rFonts w:ascii="Garamond" w:hAnsi="Garamond"/>
        </w:rPr>
      </w:pPr>
      <w:r w:rsidRPr="001777FF">
        <w:rPr>
          <w:rFonts w:ascii="Garamond" w:hAnsi="Garamond"/>
        </w:rPr>
        <w:t>FACULTAD DE FILOSOFÍA Y LETRAS</w:t>
      </w:r>
    </w:p>
    <w:sectPr w:rsidR="001777FF" w:rsidRPr="001777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7DE0C" w14:textId="77777777" w:rsidR="00233A5A" w:rsidRDefault="00233A5A">
      <w:pPr>
        <w:spacing w:after="0"/>
      </w:pPr>
      <w:r>
        <w:separator/>
      </w:r>
    </w:p>
  </w:endnote>
  <w:endnote w:type="continuationSeparator" w:id="0">
    <w:p w14:paraId="770C2F56" w14:textId="77777777" w:rsidR="00233A5A" w:rsidRDefault="00233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255B" w14:textId="77777777" w:rsidR="00233A5A" w:rsidRDefault="00233A5A">
      <w:r>
        <w:separator/>
      </w:r>
    </w:p>
  </w:footnote>
  <w:footnote w:type="continuationSeparator" w:id="0">
    <w:p w14:paraId="5D01442A" w14:textId="77777777" w:rsidR="00233A5A" w:rsidRDefault="0023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5A42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210"/>
    <w:rsid w:val="0015454C"/>
    <w:rsid w:val="001777FF"/>
    <w:rsid w:val="00233A5A"/>
    <w:rsid w:val="003D3507"/>
    <w:rsid w:val="004E29B3"/>
    <w:rsid w:val="00590D07"/>
    <w:rsid w:val="00784D58"/>
    <w:rsid w:val="008D6863"/>
    <w:rsid w:val="00B86B75"/>
    <w:rsid w:val="00BC48D5"/>
    <w:rsid w:val="00C36279"/>
    <w:rsid w:val="00C424B5"/>
    <w:rsid w:val="00C94D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1405"/>
  <w15:docId w15:val="{F3D5A51C-26E6-44F5-A3E5-35207FB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D3507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3D3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5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Angel de Jesús Mora Morales</cp:lastModifiedBy>
  <cp:revision>4</cp:revision>
  <dcterms:created xsi:type="dcterms:W3CDTF">2019-10-25T17:30:00Z</dcterms:created>
  <dcterms:modified xsi:type="dcterms:W3CDTF">2019-10-25T18:50:00Z</dcterms:modified>
</cp:coreProperties>
</file>