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Angel Velazquez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CST-307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Dr. Citro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Benchmark Cache Performance  Analysis</w:t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  <w:t xml:space="preserve">Github CST-307 repository link: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https://github.com/angel-vlzqz/Computer-Architecture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ab/>
        <w:t xml:space="preserve">Upon looking at the uncommented code, I will admit that the code looked intimidating. I completed the CLC before starting this assignment to gain experience and knowledge of the register commands. In doing so, I gathered that this program allocates memory to registers and multiplies float values. I find the UI of the program through the console to be efficient and easy to read by the reader.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Upon running the command, the console prompts the user to enter a percentage value in decimal form to compute the 1-word block percent miss penalty.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After entering the first value, the console will prompt the user to enter a second percentage value in decimal form to compute its 4-word block percent miss penalty rates in both burst and non-burst.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After entering a second value, the program will compute its output values in real-time and display the results.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The one-word miss penalty calculations are determined by finding the product of the miss penalty rate provided by the user and the miss penalty cycles. The miss penalty cycle is a constant variable set to 5.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The four-word non-burst miss penalty calculations are determined from the product of the miss penalty rate provided by the user and the miss penalty cycle time set to 20.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The four-word burst miss penalty calculation is determined from the product of the miss penalty rate provided by the user and the miss penalty cycle time set to 8.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github.com/angel-vlzqz/Computer-Architecture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