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6E7" w:rsidRPr="00E10557" w:rsidRDefault="00DD26E7" w:rsidP="00DD26E7">
      <w:pPr>
        <w:spacing w:line="360" w:lineRule="auto"/>
      </w:pPr>
      <w:r w:rsidRPr="00E10557">
        <w:t>第三章</w:t>
      </w:r>
      <w:r w:rsidRPr="00E10557">
        <w:t xml:space="preserve"> </w:t>
      </w:r>
      <w:r w:rsidRPr="00E10557">
        <w:t>財務決策與單一價</w:t>
      </w:r>
      <w:r w:rsidR="00842DE1" w:rsidRPr="00E10557">
        <w:t>格律</w:t>
      </w:r>
    </w:p>
    <w:p w:rsidR="00DD26E7" w:rsidRPr="00E10557" w:rsidRDefault="00DD26E7" w:rsidP="00DD26E7">
      <w:pPr>
        <w:spacing w:line="360" w:lineRule="auto"/>
      </w:pPr>
      <w:r w:rsidRPr="00E10557">
        <w:t>本章概述：</w:t>
      </w:r>
    </w:p>
    <w:p w:rsidR="00DD26E7" w:rsidRPr="00E10557" w:rsidRDefault="00DD26E7" w:rsidP="00DD26E7">
      <w:pPr>
        <w:spacing w:line="360" w:lineRule="auto"/>
      </w:pPr>
      <w:r w:rsidRPr="00E10557">
        <w:t>財務決策的目的在於會影響公司的價值的變化，好的財務決策基本上可使公司的現金流入大於現金流出，故可以增進公司價值，在本章中我們介紹財務領域中一項核心的基本原則，即利用當前的各種市場價格，在現值的觀念下進行決策前的成本效益分析</w:t>
      </w:r>
      <w:r w:rsidR="00721E3F" w:rsidRPr="00E10557">
        <w:t>，此即為評價原則</w:t>
      </w:r>
      <w:r w:rsidR="00721E3F" w:rsidRPr="00E10557">
        <w:t>(valuation principle)</w:t>
      </w:r>
      <w:r w:rsidRPr="00E10557">
        <w:t>，主要的工具即為淨現值</w:t>
      </w:r>
      <w:r w:rsidRPr="00E10557">
        <w:t>(net present value</w:t>
      </w:r>
      <w:r w:rsidR="002F773E" w:rsidRPr="00E10557">
        <w:t>, NPV</w:t>
      </w:r>
      <w:r w:rsidRPr="00E10557">
        <w:t>)</w:t>
      </w:r>
      <w:r w:rsidRPr="00E10557">
        <w:t>。進一步地，在競爭市場中被交易的有價證券</w:t>
      </w:r>
      <w:r w:rsidRPr="00E10557">
        <w:t>(</w:t>
      </w:r>
      <w:r w:rsidRPr="00E10557">
        <w:t>金融資產</w:t>
      </w:r>
      <w:r w:rsidRPr="00E10557">
        <w:t>)</w:t>
      </w:r>
      <w:r w:rsidRPr="00E10557">
        <w:t>在沒有套利機會</w:t>
      </w:r>
      <w:r w:rsidR="008E3465" w:rsidRPr="00E10557">
        <w:t>(arbitrage opportunity)</w:t>
      </w:r>
      <w:r w:rsidRPr="00E10557">
        <w:t>下，將會使得資產的價格單一，此被稱為單一價格</w:t>
      </w:r>
      <w:r w:rsidR="00842DE1" w:rsidRPr="00E10557">
        <w:t>律</w:t>
      </w:r>
      <w:r w:rsidRPr="00E10557">
        <w:t>(the law of one price)</w:t>
      </w:r>
      <w:r w:rsidR="004372D6" w:rsidRPr="00E10557">
        <w:t>，亦即經濟學中</w:t>
      </w:r>
      <w:r w:rsidR="00D14DCA" w:rsidRPr="00E10557">
        <w:t>市場</w:t>
      </w:r>
      <w:r w:rsidR="004372D6" w:rsidRPr="00E10557">
        <w:t>均衡價</w:t>
      </w:r>
      <w:r w:rsidRPr="00E10557">
        <w:t>格的概念。</w:t>
      </w:r>
    </w:p>
    <w:p w:rsidR="00DD26E7" w:rsidRPr="00E10557" w:rsidRDefault="00DD26E7" w:rsidP="00DD26E7">
      <w:pPr>
        <w:spacing w:line="360" w:lineRule="auto"/>
      </w:pPr>
      <w:r w:rsidRPr="00E10557">
        <w:t>本章架構：</w:t>
      </w:r>
    </w:p>
    <w:p w:rsidR="00DD26E7" w:rsidRPr="00E10557" w:rsidRDefault="00DD26E7" w:rsidP="00DD26E7">
      <w:pPr>
        <w:spacing w:line="360" w:lineRule="auto"/>
      </w:pPr>
      <w:r w:rsidRPr="00E10557">
        <w:t>3.1</w:t>
      </w:r>
      <w:r w:rsidR="00842DE1" w:rsidRPr="00E10557">
        <w:t xml:space="preserve"> </w:t>
      </w:r>
      <w:r w:rsidRPr="00E10557">
        <w:t>評估決策的價值</w:t>
      </w:r>
    </w:p>
    <w:p w:rsidR="00DD26E7" w:rsidRPr="00E10557" w:rsidRDefault="00DD26E7" w:rsidP="00DD26E7">
      <w:pPr>
        <w:spacing w:line="360" w:lineRule="auto"/>
      </w:pPr>
      <w:r w:rsidRPr="00E10557">
        <w:t>3.2</w:t>
      </w:r>
      <w:r w:rsidR="00842DE1" w:rsidRPr="00E10557">
        <w:t xml:space="preserve"> </w:t>
      </w:r>
      <w:r w:rsidR="00842DE1" w:rsidRPr="00E10557">
        <w:t>利率與貨幣時間價值</w:t>
      </w:r>
    </w:p>
    <w:p w:rsidR="00842DE1" w:rsidRPr="00E10557" w:rsidRDefault="00842DE1" w:rsidP="00DD26E7">
      <w:pPr>
        <w:spacing w:line="360" w:lineRule="auto"/>
      </w:pPr>
      <w:r w:rsidRPr="00E10557">
        <w:t xml:space="preserve">3.3 </w:t>
      </w:r>
      <w:r w:rsidRPr="00E10557">
        <w:t>現值與淨現值準則</w:t>
      </w:r>
    </w:p>
    <w:p w:rsidR="00842DE1" w:rsidRPr="00E10557" w:rsidRDefault="00842DE1" w:rsidP="00DD26E7">
      <w:pPr>
        <w:spacing w:line="360" w:lineRule="auto"/>
      </w:pPr>
      <w:r w:rsidRPr="00E10557">
        <w:t xml:space="preserve">3.4 </w:t>
      </w:r>
      <w:r w:rsidRPr="00E10557">
        <w:t>套利與單一價格律</w:t>
      </w:r>
    </w:p>
    <w:p w:rsidR="00842DE1" w:rsidRPr="00E10557" w:rsidRDefault="00842DE1" w:rsidP="00DD26E7">
      <w:pPr>
        <w:spacing w:line="360" w:lineRule="auto"/>
      </w:pPr>
      <w:r w:rsidRPr="00E10557">
        <w:t>3.5</w:t>
      </w:r>
      <w:proofErr w:type="gramStart"/>
      <w:r w:rsidRPr="00E10557">
        <w:t>無套利</w:t>
      </w:r>
      <w:proofErr w:type="gramEnd"/>
      <w:r w:rsidRPr="00E10557">
        <w:t>機會下的資產訂價</w:t>
      </w:r>
    </w:p>
    <w:p w:rsidR="00842DE1" w:rsidRPr="00E10557" w:rsidRDefault="00842DE1" w:rsidP="00DD26E7">
      <w:pPr>
        <w:spacing w:line="360" w:lineRule="auto"/>
      </w:pPr>
      <w:r w:rsidRPr="00E10557">
        <w:t>A</w:t>
      </w:r>
      <w:r w:rsidRPr="00E10557">
        <w:t>附錄</w:t>
      </w:r>
      <w:r w:rsidR="00C029AE" w:rsidRPr="00E10557">
        <w:t xml:space="preserve"> </w:t>
      </w:r>
      <w:r w:rsidR="00C029AE" w:rsidRPr="00E10557">
        <w:t>風險的價格</w:t>
      </w:r>
      <w:r w:rsidR="00C029AE" w:rsidRPr="00E10557">
        <w:t>(</w:t>
      </w:r>
      <w:proofErr w:type="gramStart"/>
      <w:r w:rsidR="00C029AE" w:rsidRPr="00E10557">
        <w:t>風險溢酬</w:t>
      </w:r>
      <w:proofErr w:type="gramEnd"/>
      <w:r w:rsidR="00C029AE" w:rsidRPr="00E10557">
        <w:t>)</w:t>
      </w:r>
    </w:p>
    <w:p w:rsidR="00842DE1" w:rsidRPr="00E10557" w:rsidRDefault="00842DE1" w:rsidP="00DD26E7">
      <w:pPr>
        <w:spacing w:line="360" w:lineRule="auto"/>
      </w:pPr>
      <w:r w:rsidRPr="00E10557">
        <w:t>A.1</w:t>
      </w:r>
      <w:r w:rsidRPr="00E10557">
        <w:t>有風險與無風險資產的現金流量</w:t>
      </w:r>
    </w:p>
    <w:p w:rsidR="00842DE1" w:rsidRPr="00E10557" w:rsidRDefault="00842DE1" w:rsidP="00DD26E7">
      <w:pPr>
        <w:spacing w:line="360" w:lineRule="auto"/>
      </w:pPr>
      <w:r w:rsidRPr="00E10557">
        <w:t xml:space="preserve">A.2 </w:t>
      </w:r>
      <w:r w:rsidRPr="00E10557">
        <w:t>考慮交易成本時的套利機會</w:t>
      </w:r>
    </w:p>
    <w:p w:rsidR="00842DE1" w:rsidRPr="00E10557" w:rsidRDefault="00842DE1" w:rsidP="00DD26E7">
      <w:pPr>
        <w:spacing w:line="360" w:lineRule="auto"/>
      </w:pPr>
    </w:p>
    <w:p w:rsidR="00842DE1" w:rsidRPr="00E10557" w:rsidRDefault="00842DE1" w:rsidP="00DD26E7">
      <w:pPr>
        <w:spacing w:line="360" w:lineRule="auto"/>
      </w:pPr>
      <w:r w:rsidRPr="00E10557">
        <w:t>Review</w:t>
      </w:r>
      <w:r w:rsidRPr="00E10557">
        <w:rPr>
          <w:rFonts w:eastAsia="新細明體"/>
        </w:rPr>
        <w:t>：</w:t>
      </w:r>
    </w:p>
    <w:p w:rsidR="00842DE1" w:rsidRPr="00E10557" w:rsidRDefault="00842DE1" w:rsidP="00DD26E7">
      <w:pPr>
        <w:spacing w:line="360" w:lineRule="auto"/>
      </w:pPr>
      <w:r w:rsidRPr="00E10557">
        <w:rPr>
          <w:rFonts w:ascii="細明體" w:eastAsia="細明體" w:hAnsi="細明體" w:cs="細明體" w:hint="eastAsia"/>
        </w:rPr>
        <w:t>◎</w:t>
      </w:r>
      <w:r w:rsidRPr="00E10557">
        <w:t>何謂「公司價值」？</w:t>
      </w:r>
    </w:p>
    <w:p w:rsidR="00842DE1" w:rsidRPr="00E10557" w:rsidRDefault="00842DE1" w:rsidP="00DD26E7">
      <w:pPr>
        <w:spacing w:line="360" w:lineRule="auto"/>
      </w:pPr>
      <w:r w:rsidRPr="00E10557">
        <w:rPr>
          <w:rFonts w:ascii="細明體" w:eastAsia="細明體" w:hAnsi="細明體" w:cs="細明體" w:hint="eastAsia"/>
        </w:rPr>
        <w:t>◎</w:t>
      </w:r>
      <w:r w:rsidRPr="00E10557">
        <w:t>財務經理人經營企業的目標是甚麼？</w:t>
      </w:r>
    </w:p>
    <w:p w:rsidR="00842DE1" w:rsidRPr="00E10557" w:rsidRDefault="00842DE1">
      <w:pPr>
        <w:widowControl/>
      </w:pPr>
      <w:r w:rsidRPr="00E10557">
        <w:br w:type="page"/>
      </w:r>
    </w:p>
    <w:p w:rsidR="00842DE1" w:rsidRPr="00E10557" w:rsidRDefault="00842DE1" w:rsidP="00DD26E7">
      <w:pPr>
        <w:spacing w:line="360" w:lineRule="auto"/>
      </w:pPr>
      <w:r w:rsidRPr="00E10557">
        <w:lastRenderedPageBreak/>
        <w:t>3.1</w:t>
      </w:r>
      <w:r w:rsidRPr="00E10557">
        <w:t>評估決策的價值</w:t>
      </w:r>
    </w:p>
    <w:p w:rsidR="00842DE1" w:rsidRPr="00E10557" w:rsidRDefault="00842DE1" w:rsidP="00DD26E7">
      <w:pPr>
        <w:spacing w:line="360" w:lineRule="auto"/>
      </w:pPr>
      <w:r w:rsidRPr="00E10557">
        <w:t>財務經理人的工作在於使公司價值極大化，當企業面對競爭，由各功能性部門做成經營策略後，財務經理人必須將該經營策略所產生的成本與效益進行評估</w:t>
      </w:r>
      <w:r w:rsidR="00306492" w:rsidRPr="00E10557">
        <w:t>，決定最能增進公司</w:t>
      </w:r>
      <w:r w:rsidR="00635E04">
        <w:rPr>
          <w:rFonts w:hint="eastAsia"/>
        </w:rPr>
        <w:t>價值</w:t>
      </w:r>
      <w:r w:rsidR="00306492" w:rsidRPr="00E10557">
        <w:t>的方案。舉例而言，一家公司為因應市場對產品需求上升，可能必須決定要提高產品產量或調升價格，各種功能性部門開始必須進行各項評估，例如：</w:t>
      </w:r>
    </w:p>
    <w:p w:rsidR="00306492" w:rsidRPr="00E10557" w:rsidRDefault="00306492" w:rsidP="00DD26E7">
      <w:pPr>
        <w:spacing w:line="360" w:lineRule="auto"/>
      </w:pPr>
      <w:r w:rsidRPr="00E10557">
        <w:t>行銷部門：預測利用廣告增進營收的效益</w:t>
      </w:r>
    </w:p>
    <w:p w:rsidR="00306492" w:rsidRPr="00E10557" w:rsidRDefault="00306492" w:rsidP="00DD26E7">
      <w:pPr>
        <w:spacing w:line="360" w:lineRule="auto"/>
      </w:pPr>
      <w:r w:rsidRPr="00E10557">
        <w:t>會計部門：估計廠房擴大可以節省的租稅</w:t>
      </w:r>
    </w:p>
    <w:p w:rsidR="00306492" w:rsidRPr="00E10557" w:rsidRDefault="00306492" w:rsidP="00DD26E7">
      <w:pPr>
        <w:spacing w:line="360" w:lineRule="auto"/>
      </w:pPr>
      <w:r w:rsidRPr="00E10557">
        <w:t>產品部門：評估降價可以增加多少產品需求量</w:t>
      </w:r>
    </w:p>
    <w:p w:rsidR="00306492" w:rsidRPr="00E10557" w:rsidRDefault="00306492" w:rsidP="00DD26E7">
      <w:pPr>
        <w:spacing w:line="360" w:lineRule="auto"/>
      </w:pPr>
      <w:r w:rsidRPr="00E10557">
        <w:t>策略部門：評估組織結構的重組如何增進公司的生產力</w:t>
      </w:r>
    </w:p>
    <w:p w:rsidR="00306492" w:rsidRPr="00E10557" w:rsidRDefault="00306492" w:rsidP="00DD26E7">
      <w:pPr>
        <w:spacing w:line="360" w:lineRule="auto"/>
      </w:pPr>
      <w:r w:rsidRPr="00E10557">
        <w:t>營運部門：評估廠房的更新可以節省多少成本</w:t>
      </w:r>
    </w:p>
    <w:p w:rsidR="00306492" w:rsidRPr="00E10557" w:rsidRDefault="00306492" w:rsidP="00DD26E7">
      <w:pPr>
        <w:spacing w:line="360" w:lineRule="auto"/>
      </w:pPr>
      <w:r w:rsidRPr="00E10557">
        <w:t>一旦這些部門做成各種的評估的數據後，財務部門根據這些數據進一步做成成本效益評估，形成可以增進公司價值的財務決策。</w:t>
      </w:r>
    </w:p>
    <w:p w:rsidR="00306492" w:rsidRPr="00E10557" w:rsidRDefault="00306492" w:rsidP="00DD26E7">
      <w:pPr>
        <w:spacing w:line="360" w:lineRule="auto"/>
      </w:pPr>
    </w:p>
    <w:p w:rsidR="00721E3F" w:rsidRPr="00E10557" w:rsidRDefault="00721E3F" w:rsidP="00DD26E7">
      <w:pPr>
        <w:spacing w:line="360" w:lineRule="auto"/>
      </w:pPr>
      <w:r w:rsidRPr="00E10557">
        <w:t>利用競爭市場價格決定決策的價值</w:t>
      </w:r>
    </w:p>
    <w:p w:rsidR="00BE636B" w:rsidRPr="00E10557" w:rsidRDefault="00721E3F" w:rsidP="00DD26E7">
      <w:pPr>
        <w:spacing w:line="360" w:lineRule="auto"/>
      </w:pPr>
      <w:r w:rsidRPr="00E10557">
        <w:t>競爭市場</w:t>
      </w:r>
      <w:r w:rsidRPr="00E10557">
        <w:t>(competitive market)</w:t>
      </w:r>
      <w:r w:rsidRPr="00E10557">
        <w:t>是指：商品不論買或賣的價格都一樣，該價格與單一的買方或賣方對價格的分析判斷或偏好都無關，該價格是市場所有買方與賣方共同決定的價格。該價格</w:t>
      </w:r>
      <w:r w:rsidR="00BE636B" w:rsidRPr="00E10557">
        <w:t>可用以</w:t>
      </w:r>
      <w:r w:rsidRPr="00E10557">
        <w:t>決定</w:t>
      </w:r>
      <w:r w:rsidR="00BE636B" w:rsidRPr="00E10557">
        <w:t>決策的價值。舉例而言：你的公司有機會可以以</w:t>
      </w:r>
      <w:r w:rsidR="00BE636B" w:rsidRPr="00E10557">
        <w:t>400</w:t>
      </w:r>
      <w:r w:rsidR="00BE636B" w:rsidRPr="00E10557">
        <w:t>英兩的銀交易</w:t>
      </w:r>
      <w:r w:rsidR="00BE636B" w:rsidRPr="00E10557">
        <w:t>10</w:t>
      </w:r>
      <w:r w:rsidR="00BE636B" w:rsidRPr="00E10557">
        <w:t>英兩的黃金，你</w:t>
      </w:r>
      <w:r w:rsidR="00FD47F2">
        <w:t>的決策方式是利用當前兩種貴金屬在競爭市場中的價格來做決策，假定</w:t>
      </w:r>
      <w:r w:rsidR="00FD47F2">
        <w:rPr>
          <w:rFonts w:hint="eastAsia"/>
        </w:rPr>
        <w:t>每</w:t>
      </w:r>
      <w:r w:rsidR="00BE636B" w:rsidRPr="00E10557">
        <w:t>英兩的銀價格為</w:t>
      </w:r>
      <w:r w:rsidR="00BE636B" w:rsidRPr="00E10557">
        <w:t>15</w:t>
      </w:r>
      <w:r w:rsidR="00BE636B" w:rsidRPr="00E10557">
        <w:t>美元，而每英兩的黃金價為</w:t>
      </w:r>
      <w:r w:rsidR="00BE636B" w:rsidRPr="00E10557">
        <w:t>900</w:t>
      </w:r>
      <w:r w:rsidR="00BE636B" w:rsidRPr="00E10557">
        <w:t>美元，則：</w:t>
      </w:r>
      <w:r w:rsidR="00BE636B" w:rsidRPr="00E10557">
        <w:t>10*900-400*15=+3,000</w:t>
      </w:r>
      <w:r w:rsidR="00BE636B" w:rsidRPr="00E10557">
        <w:t>美元，亦即此一交易對你是有利的，故你會進行交易。</w:t>
      </w:r>
    </w:p>
    <w:p w:rsidR="00BE636B" w:rsidRPr="00E10557" w:rsidRDefault="00BE636B" w:rsidP="00DD26E7">
      <w:pPr>
        <w:spacing w:line="360" w:lineRule="auto"/>
      </w:pPr>
      <w:r w:rsidRPr="00E10557">
        <w:t>上例中，我們用競爭市場的價格將成本效益評估並做成決策，即是評價原則的基本觀念，詳述之：</w:t>
      </w:r>
    </w:p>
    <w:p w:rsidR="0030453F" w:rsidRPr="00E10557" w:rsidRDefault="00BB5878" w:rsidP="00DD26E7">
      <w:pPr>
        <w:spacing w:line="360" w:lineRule="auto"/>
      </w:pPr>
      <w:r>
        <w:t>評價原則：公司</w:t>
      </w:r>
      <w:r>
        <w:rPr>
          <w:rFonts w:hint="eastAsia"/>
        </w:rPr>
        <w:t>任</w:t>
      </w:r>
      <w:proofErr w:type="gramStart"/>
      <w:r>
        <w:rPr>
          <w:rFonts w:hint="eastAsia"/>
        </w:rPr>
        <w:t>一</w:t>
      </w:r>
      <w:proofErr w:type="gramEnd"/>
      <w:r w:rsidR="00BE636B" w:rsidRPr="00E10557">
        <w:t>資產</w:t>
      </w:r>
      <w:r>
        <w:rPr>
          <w:rFonts w:hint="eastAsia"/>
        </w:rPr>
        <w:t>的</w:t>
      </w:r>
      <w:r w:rsidR="00BE636B" w:rsidRPr="00E10557">
        <w:t>價值決定於競爭市場價格，所有利用競爭市場價格所</w:t>
      </w:r>
      <w:r w:rsidR="00BE636B" w:rsidRPr="00E10557">
        <w:lastRenderedPageBreak/>
        <w:t>進</w:t>
      </w:r>
      <w:r w:rsidR="0030453F" w:rsidRPr="00E10557">
        <w:t>行的成本效益評估，只要效益大於成本的決策，必可增加公司的市場價值。</w:t>
      </w:r>
    </w:p>
    <w:p w:rsidR="007863D7" w:rsidRPr="00E10557" w:rsidRDefault="0030453F" w:rsidP="00DD26E7">
      <w:pPr>
        <w:spacing w:line="360" w:lineRule="auto"/>
      </w:pPr>
      <w:r w:rsidRPr="00E10557">
        <w:rPr>
          <w:rFonts w:ascii="細明體" w:eastAsia="細明體" w:hAnsi="細明體" w:cs="細明體" w:hint="eastAsia"/>
        </w:rPr>
        <w:t>◎</w:t>
      </w:r>
      <w:r w:rsidRPr="00E10557">
        <w:t>注意：現實的社會中，競爭市場價格並不一定存在，例如某銀行對開戶的客人免費贈送一台小</w:t>
      </w:r>
      <w:proofErr w:type="spellStart"/>
      <w:r w:rsidRPr="00E10557">
        <w:t>ipad</w:t>
      </w:r>
      <w:proofErr w:type="spellEnd"/>
      <w:r w:rsidRPr="00E10557">
        <w:t>，其零售</w:t>
      </w:r>
      <w:r w:rsidR="007863D7" w:rsidRPr="00E10557">
        <w:t>賣</w:t>
      </w:r>
      <w:r w:rsidRPr="00E10557">
        <w:t>價為</w:t>
      </w:r>
      <w:r w:rsidRPr="00E10557">
        <w:t>399</w:t>
      </w:r>
      <w:r w:rsidRPr="00E10557">
        <w:t>美元</w:t>
      </w:r>
      <w:r w:rsidR="007863D7" w:rsidRPr="00E10557">
        <w:t>(</w:t>
      </w:r>
      <w:r w:rsidR="007863D7" w:rsidRPr="00E10557">
        <w:t>零售商的買進價勢必比</w:t>
      </w:r>
      <w:r w:rsidR="007863D7" w:rsidRPr="00E10557">
        <w:t>399</w:t>
      </w:r>
      <w:r w:rsidR="007863D7" w:rsidRPr="00E10557">
        <w:t>美元低</w:t>
      </w:r>
      <w:r w:rsidR="007863D7" w:rsidRPr="00E10557">
        <w:t>)</w:t>
      </w:r>
      <w:r w:rsidR="001F15E0">
        <w:t>，如果你是想</w:t>
      </w:r>
      <w:r w:rsidR="001F15E0">
        <w:rPr>
          <w:rFonts w:hint="eastAsia"/>
        </w:rPr>
        <w:t>擁有</w:t>
      </w:r>
      <w:r w:rsidRPr="00E10557">
        <w:t>小</w:t>
      </w:r>
      <w:proofErr w:type="spellStart"/>
      <w:r w:rsidRPr="00E10557">
        <w:t>ipad</w:t>
      </w:r>
      <w:proofErr w:type="spellEnd"/>
      <w:r w:rsidRPr="00E10557">
        <w:t>客戶，則其對你的價值就是</w:t>
      </w:r>
      <w:r w:rsidRPr="00E10557">
        <w:t>399</w:t>
      </w:r>
      <w:r w:rsidRPr="00E10557">
        <w:t>美元；但你若不是想買小</w:t>
      </w:r>
      <w:proofErr w:type="spellStart"/>
      <w:r w:rsidRPr="00E10557">
        <w:t>ipad</w:t>
      </w:r>
      <w:proofErr w:type="spellEnd"/>
      <w:r w:rsidRPr="00E10557">
        <w:t>的客戶</w:t>
      </w:r>
      <w:proofErr w:type="gramStart"/>
      <w:r w:rsidR="007863D7" w:rsidRPr="00E10557">
        <w:t>則價鉻就</w:t>
      </w:r>
      <w:proofErr w:type="gramEnd"/>
      <w:r w:rsidR="007863D7" w:rsidRPr="00E10557">
        <w:t>不是</w:t>
      </w:r>
      <w:r w:rsidR="007863D7" w:rsidRPr="00E10557">
        <w:t>399</w:t>
      </w:r>
      <w:r w:rsidR="007863D7" w:rsidRPr="00E10557">
        <w:t>美元，例如你可以用</w:t>
      </w:r>
      <w:r w:rsidR="007863D7" w:rsidRPr="00E10557">
        <w:t>300</w:t>
      </w:r>
      <w:r w:rsidR="007863D7" w:rsidRPr="00E10557">
        <w:t>美元轉售給你的朋友，則小</w:t>
      </w:r>
      <w:proofErr w:type="spellStart"/>
      <w:r w:rsidR="007863D7" w:rsidRPr="00E10557">
        <w:t>ipad</w:t>
      </w:r>
      <w:proofErr w:type="spellEnd"/>
      <w:r w:rsidR="007863D7" w:rsidRPr="00E10557">
        <w:t>對你的價值只有</w:t>
      </w:r>
      <w:r w:rsidR="007863D7" w:rsidRPr="00E10557">
        <w:t>300</w:t>
      </w:r>
      <w:r w:rsidR="007863D7" w:rsidRPr="00E10557">
        <w:t>美元。在這個例子中，當買賣價不相等時，產品的價值將受到價格認知或偏好的影響。</w:t>
      </w:r>
    </w:p>
    <w:p w:rsidR="007863D7" w:rsidRPr="00E10557" w:rsidRDefault="007863D7">
      <w:pPr>
        <w:widowControl/>
      </w:pPr>
      <w:r w:rsidRPr="00E10557">
        <w:br w:type="page"/>
      </w:r>
    </w:p>
    <w:p w:rsidR="0030453F" w:rsidRPr="00E10557" w:rsidRDefault="007863D7" w:rsidP="00DD26E7">
      <w:pPr>
        <w:spacing w:line="360" w:lineRule="auto"/>
      </w:pPr>
      <w:r w:rsidRPr="00E10557">
        <w:lastRenderedPageBreak/>
        <w:t>3.2</w:t>
      </w:r>
      <w:r w:rsidRPr="00E10557">
        <w:t>利率與貨幣時間價值</w:t>
      </w:r>
    </w:p>
    <w:p w:rsidR="007863D7" w:rsidRPr="00E10557" w:rsidRDefault="007863D7" w:rsidP="00DD26E7">
      <w:pPr>
        <w:spacing w:line="360" w:lineRule="auto"/>
      </w:pPr>
      <w:r w:rsidRPr="00E10557">
        <w:t>利率代表借貸雙方對使用貨幣之時</w:t>
      </w:r>
      <w:r w:rsidR="00BA1F82" w:rsidRPr="00E10557">
        <w:t>間偏好的替代率，就借方而言是提前使用貨幣所需要付出的代價，而就貸方而言則是延後</w:t>
      </w:r>
      <w:r w:rsidRPr="00E10557">
        <w:t>使用貨幣所獲得的補償，依照這種本質</w:t>
      </w:r>
      <w:r w:rsidR="00DF1B33" w:rsidRPr="00E10557">
        <w:t>，利率其實就是貨幣在跨時的交換率，可以讓我們知道現在的</w:t>
      </w:r>
      <w:r w:rsidR="00DF1B33" w:rsidRPr="00E10557">
        <w:t>1</w:t>
      </w:r>
      <w:r w:rsidR="00DF1B33" w:rsidRPr="00E10557">
        <w:t>元在未來會值多少錢，也可以讓我們知道未來的</w:t>
      </w:r>
      <w:r w:rsidR="00DF1B33" w:rsidRPr="00E10557">
        <w:t>1</w:t>
      </w:r>
      <w:r w:rsidR="00DF1B33" w:rsidRPr="00E10557">
        <w:t>元，今天值多少錢。</w:t>
      </w:r>
    </w:p>
    <w:p w:rsidR="00DF1B33" w:rsidRPr="00E10557" w:rsidRDefault="00DF1B33" w:rsidP="00DD26E7">
      <w:pPr>
        <w:spacing w:line="360" w:lineRule="auto"/>
      </w:pPr>
      <w:r w:rsidRPr="00E10557">
        <w:t>例：</w:t>
      </w:r>
    </w:p>
    <w:p w:rsidR="00035531" w:rsidRPr="00E10557" w:rsidRDefault="00DF1B33" w:rsidP="00DD26E7">
      <w:pPr>
        <w:spacing w:line="360" w:lineRule="auto"/>
      </w:pPr>
      <w:r w:rsidRPr="00E10557">
        <w:t>假設銀行的資金</w:t>
      </w:r>
      <w:r w:rsidRPr="00E10557">
        <w:rPr>
          <w:b/>
          <w:u w:val="single"/>
        </w:rPr>
        <w:t>借貸</w:t>
      </w:r>
      <w:r w:rsidR="00F6485D" w:rsidRPr="00E10557">
        <w:t>為</w:t>
      </w:r>
      <w:r w:rsidRPr="00E10557">
        <w:t>無風險利率</w:t>
      </w:r>
      <w:r w:rsidRPr="00E10557">
        <w:t>(risk-free rate)</w:t>
      </w:r>
      <w:r w:rsidR="00F6485D" w:rsidRPr="00E10557">
        <w:t>、</w:t>
      </w:r>
      <w:r w:rsidRPr="00E10557">
        <w:t>年利率</w:t>
      </w:r>
      <w:r w:rsidRPr="00E10557">
        <w:t>7%</w:t>
      </w:r>
      <w:r w:rsidRPr="00E10557">
        <w:t>，每年計息一次。現若另外有一個投資機會，期初投資金額為</w:t>
      </w:r>
      <w:r w:rsidRPr="00E10557">
        <w:t>100,000</w:t>
      </w:r>
      <w:r w:rsidRPr="00E10557">
        <w:t>元，</w:t>
      </w:r>
      <w:proofErr w:type="gramStart"/>
      <w:r w:rsidRPr="00E10557">
        <w:t>一</w:t>
      </w:r>
      <w:proofErr w:type="gramEnd"/>
      <w:r w:rsidRPr="00E10557">
        <w:t>年後可收益</w:t>
      </w:r>
      <w:r w:rsidRPr="00E10557">
        <w:t>105,000</w:t>
      </w:r>
      <w:r w:rsidR="00F6485D" w:rsidRPr="00E10557">
        <w:t>元，則比較兩種機會的終值</w:t>
      </w:r>
      <w:r w:rsidR="00035531" w:rsidRPr="00E10557">
        <w:t>(future value</w:t>
      </w:r>
      <w:r w:rsidR="00F6485D" w:rsidRPr="00E10557">
        <w:t>, FV</w:t>
      </w:r>
      <w:r w:rsidR="00035531" w:rsidRPr="00E10557">
        <w:t>)</w:t>
      </w:r>
      <w:r w:rsidRPr="00E10557">
        <w:t>可得：</w:t>
      </w:r>
    </w:p>
    <w:p w:rsidR="00DF1B33" w:rsidRPr="00E10557" w:rsidRDefault="00DF1B33" w:rsidP="00DD26E7">
      <w:pPr>
        <w:spacing w:line="360" w:lineRule="auto"/>
      </w:pPr>
      <w:r w:rsidRPr="00E10557">
        <w:object w:dxaOrig="37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8pt;height:16.2pt" o:ole="">
            <v:imagedata r:id="rId7" o:title=""/>
          </v:shape>
          <o:OLEObject Type="Embed" ProgID="Unknown" ShapeID="_x0000_i1025" DrawAspect="Content" ObjectID="_1629658792" r:id="rId8"/>
        </w:object>
      </w:r>
    </w:p>
    <w:p w:rsidR="00035531" w:rsidRPr="00E10557" w:rsidRDefault="00035531" w:rsidP="00DD26E7">
      <w:pPr>
        <w:spacing w:line="360" w:lineRule="auto"/>
      </w:pPr>
      <w:r w:rsidRPr="00E10557">
        <w:t>亦即將資金存放銀行會比進行投資更佳。</w:t>
      </w:r>
    </w:p>
    <w:p w:rsidR="00035531" w:rsidRPr="00E10557" w:rsidRDefault="00035531" w:rsidP="00DD26E7">
      <w:pPr>
        <w:spacing w:line="360" w:lineRule="auto"/>
      </w:pPr>
      <w:r w:rsidRPr="00E10557">
        <w:t>也可用現值</w:t>
      </w:r>
      <w:r w:rsidRPr="00E10557">
        <w:t>(present value</w:t>
      </w:r>
      <w:r w:rsidR="00F6485D" w:rsidRPr="00E10557">
        <w:t>, PV</w:t>
      </w:r>
      <w:r w:rsidRPr="00E10557">
        <w:t>)</w:t>
      </w:r>
      <w:r w:rsidRPr="00E10557">
        <w:t>計算該投資機會的淨現值：</w:t>
      </w:r>
    </w:p>
    <w:p w:rsidR="00035531" w:rsidRPr="00E10557" w:rsidRDefault="00887B9E" w:rsidP="00DD26E7">
      <w:pPr>
        <w:spacing w:line="360" w:lineRule="auto"/>
      </w:pPr>
      <w:r w:rsidRPr="00E10557">
        <w:object w:dxaOrig="3100" w:dyaOrig="660">
          <v:shape id="_x0000_i1057" type="#_x0000_t75" style="width:154.8pt;height:33pt" o:ole="">
            <v:imagedata r:id="rId9" o:title=""/>
          </v:shape>
          <o:OLEObject Type="Embed" ProgID="Unknown" ShapeID="_x0000_i1057" DrawAspect="Content" ObjectID="_1629658793" r:id="rId10"/>
        </w:object>
      </w:r>
    </w:p>
    <w:p w:rsidR="00035531" w:rsidRPr="00E10557" w:rsidRDefault="00035531" w:rsidP="00DD26E7">
      <w:pPr>
        <w:spacing w:line="360" w:lineRule="auto"/>
      </w:pPr>
      <w:r w:rsidRPr="00E10557">
        <w:t>再次顯示這個投資機會並不可行</w:t>
      </w:r>
      <w:r w:rsidR="00BA1F82" w:rsidRPr="00E10557">
        <w:rPr>
          <w:rFonts w:eastAsia="標楷體"/>
        </w:rPr>
        <w:t>。</w:t>
      </w:r>
      <w:bookmarkStart w:id="0" w:name="_GoBack"/>
      <w:bookmarkEnd w:id="0"/>
    </w:p>
    <w:p w:rsidR="00035531" w:rsidRPr="00E10557" w:rsidRDefault="00035531" w:rsidP="00DD26E7">
      <w:pPr>
        <w:spacing w:line="360" w:lineRule="auto"/>
      </w:pPr>
      <w:r w:rsidRPr="00E10557">
        <w:t>例</w:t>
      </w:r>
      <w:r w:rsidRPr="00E10557">
        <w:t>3.3</w:t>
      </w:r>
      <w:r w:rsidRPr="00E10557">
        <w:rPr>
          <w:rFonts w:eastAsia="新細明體"/>
        </w:rPr>
        <w:t>：</w:t>
      </w:r>
    </w:p>
    <w:p w:rsidR="00035531" w:rsidRPr="00E10557" w:rsidRDefault="00035531" w:rsidP="00DD26E7">
      <w:pPr>
        <w:spacing w:line="360" w:lineRule="auto"/>
      </w:pPr>
      <w:r w:rsidRPr="00E10557">
        <w:t>如果今天就重新整修舊金山大橋需要</w:t>
      </w:r>
      <w:r w:rsidRPr="00E10557">
        <w:t>30</w:t>
      </w:r>
      <w:r w:rsidRPr="00E10557">
        <w:t>億美元，若延期一年才動工，則成本會增加</w:t>
      </w:r>
      <w:r w:rsidRPr="00E10557">
        <w:t>10%</w:t>
      </w:r>
      <w:r w:rsidRPr="00E10557">
        <w:rPr>
          <w:rFonts w:eastAsia="新細明體"/>
        </w:rPr>
        <w:t>，</w:t>
      </w:r>
      <w:r w:rsidRPr="00E10557">
        <w:t>倘若無風險借貸</w:t>
      </w:r>
      <w:r w:rsidR="00F6485D" w:rsidRPr="00E10557">
        <w:t>年</w:t>
      </w:r>
      <w:r w:rsidRPr="00E10557">
        <w:t>利率為</w:t>
      </w:r>
      <w:r w:rsidRPr="00E10557">
        <w:t>2%</w:t>
      </w:r>
      <w:r w:rsidR="00F10949" w:rsidRPr="00E10557">
        <w:rPr>
          <w:rFonts w:eastAsia="新細明體"/>
        </w:rPr>
        <w:t>、</w:t>
      </w:r>
      <w:r w:rsidR="00F6485D" w:rsidRPr="00E10557">
        <w:t>每年計息一次</w:t>
      </w:r>
      <w:r w:rsidRPr="00E10557">
        <w:rPr>
          <w:rFonts w:eastAsia="新細明體"/>
        </w:rPr>
        <w:t>，</w:t>
      </w:r>
      <w:r w:rsidRPr="00E10557">
        <w:t>則若以今天的時點來看，</w:t>
      </w:r>
      <w:proofErr w:type="gramStart"/>
      <w:r w:rsidR="00F6485D" w:rsidRPr="00E10557">
        <w:t>一</w:t>
      </w:r>
      <w:proofErr w:type="gramEnd"/>
      <w:r w:rsidR="00F6485D" w:rsidRPr="00E10557">
        <w:t>年後動工將</w:t>
      </w:r>
      <w:r w:rsidRPr="00E10557">
        <w:t>會增加多少成本？</w:t>
      </w:r>
    </w:p>
    <w:p w:rsidR="00035531" w:rsidRPr="00E10557" w:rsidRDefault="00F6485D" w:rsidP="00DD26E7">
      <w:pPr>
        <w:spacing w:line="360" w:lineRule="auto"/>
      </w:pPr>
      <w:r w:rsidRPr="00E10557">
        <w:object w:dxaOrig="3320" w:dyaOrig="660">
          <v:shape id="_x0000_i1027" type="#_x0000_t75" style="width:166.2pt;height:33pt" o:ole="">
            <v:imagedata r:id="rId11" o:title=""/>
          </v:shape>
          <o:OLEObject Type="Embed" ProgID="Unknown" ShapeID="_x0000_i1027" DrawAspect="Content" ObjectID="_1629658794" r:id="rId12"/>
        </w:object>
      </w:r>
    </w:p>
    <w:p w:rsidR="00F6485D" w:rsidRPr="00E10557" w:rsidRDefault="00F6485D">
      <w:pPr>
        <w:widowControl/>
      </w:pPr>
      <w:r w:rsidRPr="00E10557">
        <w:br w:type="page"/>
      </w:r>
    </w:p>
    <w:p w:rsidR="00035531" w:rsidRPr="00E10557" w:rsidRDefault="00F6485D" w:rsidP="00DD26E7">
      <w:pPr>
        <w:spacing w:line="360" w:lineRule="auto"/>
      </w:pPr>
      <w:r w:rsidRPr="00E10557">
        <w:t>3.3</w:t>
      </w:r>
      <w:r w:rsidRPr="00E10557">
        <w:t>現值與淨現值準則</w:t>
      </w:r>
    </w:p>
    <w:p w:rsidR="002F773E" w:rsidRPr="00E10557" w:rsidRDefault="002F773E" w:rsidP="00DD26E7">
      <w:pPr>
        <w:spacing w:line="360" w:lineRule="auto"/>
      </w:pPr>
      <w:r w:rsidRPr="00E10557">
        <w:t>淨現值：</w:t>
      </w:r>
    </w:p>
    <w:p w:rsidR="00F6485D" w:rsidRPr="00E10557" w:rsidRDefault="00F6485D" w:rsidP="00DD26E7">
      <w:pPr>
        <w:spacing w:line="360" w:lineRule="auto"/>
      </w:pPr>
      <w:r w:rsidRPr="00E10557">
        <w:t>多數公司在評估任何一個投資方案的成本與效益時，偏愛以今天價值</w:t>
      </w:r>
      <w:r w:rsidRPr="00E10557">
        <w:t>(</w:t>
      </w:r>
      <w:r w:rsidRPr="00E10557">
        <w:t>現值</w:t>
      </w:r>
      <w:r w:rsidRPr="00E10557">
        <w:t>)</w:t>
      </w:r>
      <w:r w:rsidRPr="00E10557">
        <w:t>作為量化依據，</w:t>
      </w:r>
      <w:r w:rsidR="00966FF9" w:rsidRPr="00E10557">
        <w:t>故評估的</w:t>
      </w:r>
      <w:r w:rsidRPr="00E10557">
        <w:t>淨現值可定義為：</w:t>
      </w:r>
    </w:p>
    <w:p w:rsidR="002F773E" w:rsidRPr="00E10557" w:rsidRDefault="00F10949" w:rsidP="00DD26E7">
      <w:pPr>
        <w:spacing w:line="360" w:lineRule="auto"/>
      </w:pPr>
      <w:r w:rsidRPr="00E10557">
        <w:object w:dxaOrig="7380" w:dyaOrig="840">
          <v:shape id="_x0000_i1028" type="#_x0000_t75" style="width:369pt;height:42pt" o:ole="">
            <v:imagedata r:id="rId13" o:title=""/>
          </v:shape>
          <o:OLEObject Type="Embed" ProgID="Unknown" ShapeID="_x0000_i1028" DrawAspect="Content" ObjectID="_1629658795" r:id="rId14"/>
        </w:object>
      </w:r>
    </w:p>
    <w:p w:rsidR="00F10949" w:rsidRPr="00E10557" w:rsidRDefault="00F10949" w:rsidP="00DD26E7">
      <w:pPr>
        <w:spacing w:line="360" w:lineRule="auto"/>
      </w:pPr>
    </w:p>
    <w:p w:rsidR="00F6485D" w:rsidRPr="00E10557" w:rsidRDefault="002F773E" w:rsidP="00DD26E7">
      <w:pPr>
        <w:spacing w:line="360" w:lineRule="auto"/>
      </w:pPr>
      <w:r w:rsidRPr="00E10557">
        <w:t>例：</w:t>
      </w:r>
    </w:p>
    <w:p w:rsidR="002F773E" w:rsidRPr="00E10557" w:rsidRDefault="002F773E" w:rsidP="00DD26E7">
      <w:pPr>
        <w:spacing w:line="360" w:lineRule="auto"/>
      </w:pPr>
      <w:r w:rsidRPr="00E10557">
        <w:t>某投資計畫的期初投入成本為</w:t>
      </w:r>
      <w:r w:rsidRPr="00E10557">
        <w:t>500</w:t>
      </w:r>
      <w:r w:rsidRPr="00E10557">
        <w:t>美元，</w:t>
      </w:r>
      <w:proofErr w:type="gramStart"/>
      <w:r w:rsidRPr="00E10557">
        <w:t>一</w:t>
      </w:r>
      <w:proofErr w:type="gramEnd"/>
      <w:r w:rsidRPr="00E10557">
        <w:t>年後可收益</w:t>
      </w:r>
      <w:r w:rsidRPr="00E10557">
        <w:t>550</w:t>
      </w:r>
      <w:r w:rsidRPr="00E10557">
        <w:t>美元，若無風險借貸年利率為</w:t>
      </w:r>
      <w:r w:rsidR="00DD608E" w:rsidRPr="00E10557">
        <w:t>8</w:t>
      </w:r>
      <w:r w:rsidRPr="00E10557">
        <w:t>%</w:t>
      </w:r>
      <w:r w:rsidRPr="00E10557">
        <w:rPr>
          <w:rFonts w:eastAsia="新細明體"/>
        </w:rPr>
        <w:t>，</w:t>
      </w:r>
      <w:r w:rsidRPr="00E10557">
        <w:t>則該投資計畫的淨現值為：</w:t>
      </w:r>
    </w:p>
    <w:p w:rsidR="002F773E" w:rsidRPr="00E10557" w:rsidRDefault="00F83067" w:rsidP="00DD26E7">
      <w:pPr>
        <w:spacing w:line="360" w:lineRule="auto"/>
      </w:pPr>
      <w:r w:rsidRPr="00E10557">
        <w:object w:dxaOrig="4700" w:dyaOrig="660">
          <v:shape id="_x0000_i1029" type="#_x0000_t75" style="width:235.2pt;height:33pt" o:ole="">
            <v:imagedata r:id="rId15" o:title=""/>
          </v:shape>
          <o:OLEObject Type="Embed" ProgID="Unknown" ShapeID="_x0000_i1029" DrawAspect="Content" ObjectID="_1629658796" r:id="rId16"/>
        </w:object>
      </w:r>
    </w:p>
    <w:p w:rsidR="002F773E" w:rsidRPr="00E10557" w:rsidRDefault="002F773E" w:rsidP="00DD26E7">
      <w:pPr>
        <w:spacing w:line="360" w:lineRule="auto"/>
      </w:pPr>
      <w:r w:rsidRPr="00E10557">
        <w:t>故為值得投資的計畫</w:t>
      </w:r>
    </w:p>
    <w:p w:rsidR="002F773E" w:rsidRPr="00E10557" w:rsidRDefault="002F773E" w:rsidP="00DD26E7">
      <w:pPr>
        <w:spacing w:line="360" w:lineRule="auto"/>
      </w:pPr>
    </w:p>
    <w:p w:rsidR="002C04AE" w:rsidRPr="00E10557" w:rsidRDefault="002F773E" w:rsidP="00DD26E7">
      <w:pPr>
        <w:spacing w:line="360" w:lineRule="auto"/>
      </w:pPr>
      <w:r w:rsidRPr="00E10557">
        <w:rPr>
          <w:rFonts w:ascii="細明體" w:eastAsia="細明體" w:hAnsi="細明體" w:cs="細明體" w:hint="eastAsia"/>
        </w:rPr>
        <w:t>◎</w:t>
      </w:r>
      <w:r w:rsidRPr="00E10557">
        <w:t>不論是否有</w:t>
      </w:r>
      <w:r w:rsidR="007F1B27" w:rsidRPr="00E10557">
        <w:t>對計劃融資</w:t>
      </w:r>
      <w:r w:rsidRPr="00E10557">
        <w:t>上的需求，也不論你偏愛何時消費資金，只要是</w:t>
      </w:r>
      <w:r w:rsidRPr="00E10557">
        <w:t>NPV&gt;0</w:t>
      </w:r>
      <w:r w:rsidRPr="00E10557">
        <w:t>的投資計畫必然可以增加公司的價值的好計畫。</w:t>
      </w:r>
      <w:r w:rsidR="002C04AE" w:rsidRPr="00E10557">
        <w:t>(</w:t>
      </w:r>
      <w:r w:rsidR="002C04AE" w:rsidRPr="00E10557">
        <w:t>這段陳述</w:t>
      </w:r>
      <w:proofErr w:type="gramStart"/>
      <w:r w:rsidR="002C04AE" w:rsidRPr="00E10557">
        <w:t>代表啥</w:t>
      </w:r>
      <w:proofErr w:type="gramEnd"/>
      <w:r w:rsidR="002C04AE" w:rsidRPr="00E10557">
        <w:t>意義呢</w:t>
      </w:r>
      <w:r w:rsidR="002C04AE" w:rsidRPr="00E10557">
        <w:t>?)</w:t>
      </w:r>
      <w:r w:rsidR="00E300FE" w:rsidRPr="00E10557">
        <w:t xml:space="preserve"> </w:t>
      </w:r>
      <w:r w:rsidR="00E300FE" w:rsidRPr="00E10557">
        <w:sym w:font="Wingdings" w:char="F0E0"/>
      </w:r>
      <w:r w:rsidR="0085723D" w:rsidRPr="00E10557">
        <w:t>計畫</w:t>
      </w:r>
      <w:r w:rsidR="00E300FE" w:rsidRPr="00E10557">
        <w:t>投資</w:t>
      </w:r>
      <w:r w:rsidR="0085723D" w:rsidRPr="00E10557">
        <w:t>決策</w:t>
      </w:r>
      <w:r w:rsidR="00E300FE" w:rsidRPr="00E10557">
        <w:t>與</w:t>
      </w:r>
      <w:r w:rsidR="0085723D" w:rsidRPr="00E10557">
        <w:t>資金的借貸決策</w:t>
      </w:r>
      <w:r w:rsidR="00E300FE" w:rsidRPr="00E10557">
        <w:t>可相互獨立</w:t>
      </w:r>
      <w:r w:rsidR="0085723D" w:rsidRPr="00E10557">
        <w:t>；計畫投資決策在前，</w:t>
      </w:r>
      <w:proofErr w:type="gramStart"/>
      <w:r w:rsidR="0085723D" w:rsidRPr="00E10557">
        <w:t>資金的借貸</w:t>
      </w:r>
      <w:r w:rsidR="0085723D" w:rsidRPr="00E10557">
        <w:t>(</w:t>
      </w:r>
      <w:proofErr w:type="gramEnd"/>
      <w:r w:rsidR="0085723D" w:rsidRPr="00E10557">
        <w:t>融資</w:t>
      </w:r>
      <w:r w:rsidR="0085723D" w:rsidRPr="00E10557">
        <w:t>)</w:t>
      </w:r>
      <w:r w:rsidR="0085723D" w:rsidRPr="00E10557">
        <w:t>決策在後。</w:t>
      </w:r>
    </w:p>
    <w:p w:rsidR="002F773E" w:rsidRPr="00E10557" w:rsidRDefault="002C04AE" w:rsidP="00DD26E7">
      <w:pPr>
        <w:spacing w:line="360" w:lineRule="auto"/>
      </w:pPr>
      <w:r w:rsidRPr="00E10557">
        <w:rPr>
          <w:rFonts w:ascii="細明體" w:eastAsia="細明體" w:hAnsi="細明體" w:cs="細明體" w:hint="eastAsia"/>
        </w:rPr>
        <w:t>◎</w:t>
      </w:r>
      <w:r w:rsidR="00936945" w:rsidRPr="00E10557">
        <w:t>應</w:t>
      </w:r>
      <w:r w:rsidR="00966FF9" w:rsidRPr="00E10557">
        <w:t>選擇</w:t>
      </w:r>
      <w:r w:rsidR="002F773E" w:rsidRPr="00E10557">
        <w:t>NPV&gt;0</w:t>
      </w:r>
      <w:r w:rsidR="002F773E" w:rsidRPr="00E10557">
        <w:t>的獨立投資計畫，或</w:t>
      </w:r>
      <w:r w:rsidR="00966FF9" w:rsidRPr="00E10557">
        <w:t>選擇互斥計畫中</w:t>
      </w:r>
      <w:r w:rsidR="00966FF9" w:rsidRPr="00E10557">
        <w:t>NPV&gt;0</w:t>
      </w:r>
      <w:r w:rsidR="00966FF9" w:rsidRPr="00E10557">
        <w:t>且最高的計畫，</w:t>
      </w:r>
      <w:r w:rsidR="00DE1816" w:rsidRPr="00E10557">
        <w:t>NPV</w:t>
      </w:r>
      <w:r w:rsidR="00966FF9" w:rsidRPr="00E10557">
        <w:t>值等同於公司今天所能收到的</w:t>
      </w:r>
      <w:r w:rsidR="007F1B27" w:rsidRPr="00E10557">
        <w:t>正的</w:t>
      </w:r>
      <w:r w:rsidR="00966FF9" w:rsidRPr="00E10557">
        <w:t>現金流入</w:t>
      </w:r>
      <w:r w:rsidRPr="00E10557">
        <w:t>。</w:t>
      </w:r>
    </w:p>
    <w:p w:rsidR="00966FF9" w:rsidRPr="00E10557" w:rsidRDefault="00966FF9" w:rsidP="00DD26E7">
      <w:pPr>
        <w:spacing w:line="360" w:lineRule="auto"/>
      </w:pPr>
    </w:p>
    <w:p w:rsidR="00966FF9" w:rsidRPr="00E10557" w:rsidRDefault="00966FF9" w:rsidP="00DD26E7">
      <w:pPr>
        <w:spacing w:line="360" w:lineRule="auto"/>
      </w:pPr>
      <w:r w:rsidRPr="00E10557">
        <w:t>例</w:t>
      </w:r>
      <w:r w:rsidRPr="00E10557">
        <w:t>3.4</w:t>
      </w:r>
      <w:r w:rsidR="00DE1816" w:rsidRPr="00E10557">
        <w:t>(</w:t>
      </w:r>
      <w:r w:rsidR="00DE1816" w:rsidRPr="00E10557">
        <w:t>獨立計畫</w:t>
      </w:r>
      <w:r w:rsidR="00DE1816" w:rsidRPr="00E10557">
        <w:t>)</w:t>
      </w:r>
    </w:p>
    <w:p w:rsidR="00DE1816" w:rsidRPr="00E10557" w:rsidRDefault="0085723D" w:rsidP="00DD26E7">
      <w:pPr>
        <w:spacing w:line="360" w:lineRule="auto"/>
      </w:pPr>
      <w:r w:rsidRPr="00E10557">
        <w:t>假設你的公司需要購置一部新的影印機，售價為</w:t>
      </w:r>
      <w:r w:rsidRPr="00E10557">
        <w:t>9,500</w:t>
      </w:r>
      <w:r w:rsidRPr="00E10557">
        <w:t>美元，供貨商讓你可以現金購置或</w:t>
      </w:r>
      <w:proofErr w:type="gramStart"/>
      <w:r w:rsidRPr="00E10557">
        <w:t>一</w:t>
      </w:r>
      <w:proofErr w:type="gramEnd"/>
      <w:r w:rsidRPr="00E10557">
        <w:t>年後付款</w:t>
      </w:r>
      <w:r w:rsidRPr="00E10557">
        <w:t>10,000</w:t>
      </w:r>
      <w:r w:rsidRPr="00E10557">
        <w:t>美元，若無風險借貸利率為</w:t>
      </w:r>
      <w:r w:rsidRPr="00E10557">
        <w:t>7%</w:t>
      </w:r>
      <w:r w:rsidRPr="00E10557">
        <w:t>，每年付息一次，則請問哪</w:t>
      </w:r>
      <w:proofErr w:type="gramStart"/>
      <w:r w:rsidRPr="00E10557">
        <w:t>個</w:t>
      </w:r>
      <w:proofErr w:type="gramEnd"/>
      <w:r w:rsidRPr="00E10557">
        <w:t>付款方式較佳？</w:t>
      </w:r>
    </w:p>
    <w:p w:rsidR="0085723D" w:rsidRPr="00E10557" w:rsidRDefault="0085723D" w:rsidP="00DD26E7">
      <w:pPr>
        <w:spacing w:line="360" w:lineRule="auto"/>
      </w:pPr>
      <w:r w:rsidRPr="00E10557">
        <w:t>你可將第二種付款方式視為供貨商提供你</w:t>
      </w:r>
      <w:r w:rsidRPr="00E10557">
        <w:t>9,500</w:t>
      </w:r>
      <w:r w:rsidRPr="00E10557">
        <w:t>美元的貸款，</w:t>
      </w:r>
      <w:proofErr w:type="gramStart"/>
      <w:r w:rsidRPr="00E10557">
        <w:t>一</w:t>
      </w:r>
      <w:proofErr w:type="gramEnd"/>
      <w:r w:rsidRPr="00E10557">
        <w:t>年後你應付的本息為</w:t>
      </w:r>
      <w:r w:rsidRPr="00E10557">
        <w:t>10,000</w:t>
      </w:r>
      <w:r w:rsidRPr="00E10557">
        <w:t>元，則該種付款方式的現值為：</w:t>
      </w:r>
    </w:p>
    <w:p w:rsidR="0085723D" w:rsidRPr="00E10557" w:rsidRDefault="0085723D" w:rsidP="00DD26E7">
      <w:pPr>
        <w:spacing w:line="360" w:lineRule="auto"/>
      </w:pPr>
      <w:r w:rsidRPr="00E10557">
        <w:object w:dxaOrig="1980" w:dyaOrig="660">
          <v:shape id="_x0000_i1030" type="#_x0000_t75" style="width:99pt;height:33pt" o:ole="">
            <v:imagedata r:id="rId17" o:title=""/>
          </v:shape>
          <o:OLEObject Type="Embed" ProgID="Unknown" ShapeID="_x0000_i1030" DrawAspect="Content" ObjectID="_1629658797" r:id="rId18"/>
        </w:object>
      </w:r>
    </w:p>
    <w:p w:rsidR="0085723D" w:rsidRPr="00E10557" w:rsidRDefault="0085723D" w:rsidP="00DD26E7">
      <w:pPr>
        <w:spacing w:line="360" w:lineRule="auto"/>
      </w:pPr>
      <w:r w:rsidRPr="00E10557">
        <w:t>該金額比付現的</w:t>
      </w:r>
      <w:r w:rsidRPr="00E10557">
        <w:t>95,000</w:t>
      </w:r>
      <w:r w:rsidRPr="00E10557">
        <w:t>美元可節省：</w:t>
      </w:r>
    </w:p>
    <w:p w:rsidR="0085723D" w:rsidRPr="00E10557" w:rsidRDefault="00FC4AF7" w:rsidP="00DD26E7">
      <w:pPr>
        <w:spacing w:line="360" w:lineRule="auto"/>
      </w:pPr>
      <w:r w:rsidRPr="00E10557">
        <w:t>9,500-9,345.79=154.21</w:t>
      </w:r>
      <w:r w:rsidRPr="00E10557">
        <w:rPr>
          <w:rFonts w:eastAsia="新細明體"/>
        </w:rPr>
        <w:t>。</w:t>
      </w:r>
      <w:r w:rsidRPr="00E10557">
        <w:t>故以第二種方式付款較佳。</w:t>
      </w:r>
    </w:p>
    <w:p w:rsidR="00936945" w:rsidRPr="00E10557" w:rsidRDefault="00936945" w:rsidP="00DD26E7">
      <w:pPr>
        <w:spacing w:line="360" w:lineRule="auto"/>
      </w:pPr>
    </w:p>
    <w:p w:rsidR="00FC4AF7" w:rsidRPr="00E10557" w:rsidRDefault="00FC4AF7" w:rsidP="00DD26E7">
      <w:pPr>
        <w:spacing w:line="360" w:lineRule="auto"/>
      </w:pPr>
      <w:r w:rsidRPr="00E10557">
        <w:rPr>
          <w:rFonts w:ascii="細明體" w:eastAsia="細明體" w:hAnsi="細明體" w:cs="細明體" w:hint="eastAsia"/>
        </w:rPr>
        <w:t>◎</w:t>
      </w:r>
      <w:r w:rsidRPr="00E10557">
        <w:t>類似的情況也出現在台灣的新車市場，常見車商提供多期的無息貸款</w:t>
      </w:r>
      <w:r w:rsidRPr="00E10557">
        <w:t>(</w:t>
      </w:r>
      <w:r w:rsidRPr="00E10557">
        <w:t>如</w:t>
      </w:r>
      <w:r w:rsidR="00936945" w:rsidRPr="00E10557">
        <w:t>車價以</w:t>
      </w:r>
      <w:r w:rsidRPr="00E10557">
        <w:t>3</w:t>
      </w:r>
      <w:r w:rsidRPr="00E10557">
        <w:t>年分</w:t>
      </w:r>
      <w:r w:rsidRPr="00E10557">
        <w:t>36</w:t>
      </w:r>
      <w:r w:rsidRPr="00E10557">
        <w:t>個月付款</w:t>
      </w:r>
      <w:r w:rsidR="00936945" w:rsidRPr="00E10557">
        <w:rPr>
          <w:rFonts w:eastAsia="標楷體"/>
        </w:rPr>
        <w:t>，</w:t>
      </w:r>
      <w:r w:rsidR="00936945" w:rsidRPr="00E10557">
        <w:t>總付款金額等於現金價</w:t>
      </w:r>
      <w:r w:rsidRPr="00E10557">
        <w:t>)</w:t>
      </w:r>
      <w:r w:rsidRPr="00E10557">
        <w:t>，其實也是降價的行銷手段。</w:t>
      </w:r>
    </w:p>
    <w:p w:rsidR="00FC4AF7" w:rsidRPr="00E10557" w:rsidRDefault="00FC4AF7" w:rsidP="00DD26E7">
      <w:pPr>
        <w:spacing w:line="360" w:lineRule="auto"/>
      </w:pPr>
    </w:p>
    <w:p w:rsidR="00DE1816" w:rsidRPr="00E10557" w:rsidRDefault="00DE1816" w:rsidP="00DD26E7">
      <w:pPr>
        <w:spacing w:line="360" w:lineRule="auto"/>
      </w:pPr>
      <w:r w:rsidRPr="00E10557">
        <w:t>例</w:t>
      </w:r>
      <w:r w:rsidRPr="00E10557">
        <w:t>3.5(</w:t>
      </w:r>
      <w:r w:rsidRPr="00E10557">
        <w:t>互斥計畫</w:t>
      </w:r>
      <w:r w:rsidRPr="00E10557">
        <w:t>)</w:t>
      </w:r>
    </w:p>
    <w:p w:rsidR="00FC4AF7" w:rsidRPr="00E10557" w:rsidRDefault="00FC4AF7" w:rsidP="00DD26E7">
      <w:pPr>
        <w:spacing w:line="360" w:lineRule="auto"/>
      </w:pPr>
      <w:r w:rsidRPr="00E10557">
        <w:t>假設你經營一個網站，但</w:t>
      </w:r>
      <w:r w:rsidR="00FE10DB" w:rsidRPr="00E10557">
        <w:t>現在</w:t>
      </w:r>
      <w:r w:rsidRPr="00E10557">
        <w:t>想回校繼續念書，你對於如何處置你的事業思考出以下三個互斥的方式：</w:t>
      </w:r>
      <w:r w:rsidRPr="00E10557">
        <w:t>1.</w:t>
      </w:r>
      <w:r w:rsidRPr="00E10557">
        <w:t>直接以</w:t>
      </w:r>
      <w:r w:rsidRPr="00E10557">
        <w:t>200,000</w:t>
      </w:r>
      <w:r w:rsidRPr="00E10557">
        <w:t>美元出售事業；</w:t>
      </w:r>
      <w:r w:rsidRPr="00E10557">
        <w:t>2.</w:t>
      </w:r>
      <w:r w:rsidRPr="00E10557">
        <w:t>花費</w:t>
      </w:r>
      <w:r w:rsidRPr="00E10557">
        <w:t>30,000</w:t>
      </w:r>
      <w:r w:rsidR="001644D0" w:rsidRPr="00E10557">
        <w:t>美元</w:t>
      </w:r>
      <w:r w:rsidRPr="00E10557">
        <w:t>縮小經營規模，</w:t>
      </w:r>
      <w:proofErr w:type="gramStart"/>
      <w:r w:rsidRPr="00E10557">
        <w:t>一</w:t>
      </w:r>
      <w:proofErr w:type="gramEnd"/>
      <w:r w:rsidRPr="00E10557">
        <w:t>年後可有</w:t>
      </w:r>
      <w:r w:rsidRPr="00E10557">
        <w:t>50,000</w:t>
      </w:r>
      <w:r w:rsidRPr="00E10557">
        <w:t>美元的收益，屆時並同時以</w:t>
      </w:r>
      <w:r w:rsidRPr="00E10557">
        <w:t>200,000</w:t>
      </w:r>
      <w:r w:rsidRPr="00E10557">
        <w:t>美元出售事業；</w:t>
      </w:r>
      <w:r w:rsidRPr="00E10557">
        <w:t>3.</w:t>
      </w:r>
      <w:r w:rsidRPr="00E10557">
        <w:t>現在以支付</w:t>
      </w:r>
      <w:r w:rsidRPr="00E10557">
        <w:t>50,000</w:t>
      </w:r>
      <w:r w:rsidRPr="00E10557">
        <w:t>的年薪雇用一位經理人幫你經營，</w:t>
      </w:r>
      <w:proofErr w:type="gramStart"/>
      <w:r w:rsidRPr="00E10557">
        <w:t>一</w:t>
      </w:r>
      <w:proofErr w:type="gramEnd"/>
      <w:r w:rsidRPr="00E10557">
        <w:t>年後可有</w:t>
      </w:r>
      <w:r w:rsidR="00FE10DB" w:rsidRPr="00E10557">
        <w:t>10</w:t>
      </w:r>
      <w:r w:rsidRPr="00E10557">
        <w:t>0,000</w:t>
      </w:r>
      <w:r w:rsidRPr="00E10557">
        <w:t>美元的收益，屆時並同時以</w:t>
      </w:r>
      <w:r w:rsidRPr="00E10557">
        <w:t>200,000</w:t>
      </w:r>
      <w:r w:rsidRPr="00E10557">
        <w:t>美元出售事業。</w:t>
      </w:r>
      <w:r w:rsidR="00605A3D" w:rsidRPr="00E10557">
        <w:t>若無風險借</w:t>
      </w:r>
      <w:r w:rsidR="006F3EFA" w:rsidRPr="00E10557">
        <w:t>貸</w:t>
      </w:r>
      <w:r w:rsidR="00605A3D" w:rsidRPr="00E10557">
        <w:t>利率為</w:t>
      </w:r>
      <w:r w:rsidR="00605A3D" w:rsidRPr="00E10557">
        <w:t>10%</w:t>
      </w:r>
      <w:r w:rsidR="00605A3D" w:rsidRPr="00E10557">
        <w:t>，則</w:t>
      </w:r>
      <w:r w:rsidRPr="00E10557">
        <w:t>這三種方式何者最佳？</w:t>
      </w:r>
    </w:p>
    <w:p w:rsidR="00605A3D" w:rsidRPr="00E10557" w:rsidRDefault="00605A3D" w:rsidP="00DD26E7">
      <w:pPr>
        <w:spacing w:line="360" w:lineRule="auto"/>
      </w:pPr>
      <w:r w:rsidRPr="00E10557">
        <w:t>方案</w:t>
      </w:r>
      <w:r w:rsidRPr="00E10557">
        <w:t>1</w:t>
      </w:r>
      <w:r w:rsidRPr="00E10557">
        <w:t>的</w:t>
      </w:r>
      <w:r w:rsidRPr="00E10557">
        <w:t>NPV</w:t>
      </w:r>
      <w:r w:rsidRPr="00E10557">
        <w:t>：</w:t>
      </w:r>
    </w:p>
    <w:p w:rsidR="00FC4AF7" w:rsidRPr="00E10557" w:rsidRDefault="00605A3D" w:rsidP="00DD26E7">
      <w:pPr>
        <w:spacing w:line="360" w:lineRule="auto"/>
      </w:pPr>
      <w:r w:rsidRPr="00E10557">
        <w:t>200,000</w:t>
      </w:r>
      <w:r w:rsidRPr="00E10557">
        <w:t>美元</w:t>
      </w:r>
    </w:p>
    <w:p w:rsidR="00605A3D" w:rsidRPr="00E10557" w:rsidRDefault="00605A3D" w:rsidP="00DD26E7">
      <w:pPr>
        <w:spacing w:line="360" w:lineRule="auto"/>
      </w:pPr>
      <w:r w:rsidRPr="00E10557">
        <w:t>方案</w:t>
      </w:r>
      <w:r w:rsidRPr="00E10557">
        <w:t>2</w:t>
      </w:r>
      <w:r w:rsidRPr="00E10557">
        <w:t>的</w:t>
      </w:r>
      <w:r w:rsidRPr="00E10557">
        <w:t>NPV</w:t>
      </w:r>
      <w:r w:rsidRPr="00E10557">
        <w:t>：</w:t>
      </w:r>
    </w:p>
    <w:p w:rsidR="00605A3D" w:rsidRPr="00E10557" w:rsidRDefault="00605A3D" w:rsidP="00DD26E7">
      <w:pPr>
        <w:spacing w:line="360" w:lineRule="auto"/>
      </w:pPr>
      <w:r w:rsidRPr="00E10557">
        <w:object w:dxaOrig="3620" w:dyaOrig="660">
          <v:shape id="_x0000_i1031" type="#_x0000_t75" style="width:181.2pt;height:33pt" o:ole="">
            <v:imagedata r:id="rId19" o:title=""/>
          </v:shape>
          <o:OLEObject Type="Embed" ProgID="Unknown" ShapeID="_x0000_i1031" DrawAspect="Content" ObjectID="_1629658798" r:id="rId20"/>
        </w:object>
      </w:r>
    </w:p>
    <w:p w:rsidR="00605A3D" w:rsidRPr="00E10557" w:rsidRDefault="00605A3D" w:rsidP="00605A3D">
      <w:pPr>
        <w:spacing w:line="360" w:lineRule="auto"/>
      </w:pPr>
      <w:r w:rsidRPr="00E10557">
        <w:t>方案</w:t>
      </w:r>
      <w:r w:rsidRPr="00E10557">
        <w:t>3</w:t>
      </w:r>
      <w:r w:rsidRPr="00E10557">
        <w:t>的</w:t>
      </w:r>
      <w:r w:rsidRPr="00E10557">
        <w:t>NPV</w:t>
      </w:r>
      <w:r w:rsidRPr="00E10557">
        <w:t>：</w:t>
      </w:r>
    </w:p>
    <w:p w:rsidR="00605A3D" w:rsidRPr="00E10557" w:rsidRDefault="00605A3D" w:rsidP="00DD26E7">
      <w:pPr>
        <w:spacing w:line="360" w:lineRule="auto"/>
      </w:pPr>
      <w:r w:rsidRPr="00E10557">
        <w:object w:dxaOrig="3739" w:dyaOrig="660">
          <v:shape id="_x0000_i1032" type="#_x0000_t75" style="width:187.2pt;height:33pt" o:ole="">
            <v:imagedata r:id="rId21" o:title=""/>
          </v:shape>
          <o:OLEObject Type="Embed" ProgID="Unknown" ShapeID="_x0000_i1032" DrawAspect="Content" ObjectID="_1629658799" r:id="rId22"/>
        </w:object>
      </w:r>
    </w:p>
    <w:p w:rsidR="00605A3D" w:rsidRPr="00E10557" w:rsidRDefault="00605A3D" w:rsidP="00DD26E7">
      <w:pPr>
        <w:spacing w:line="360" w:lineRule="auto"/>
      </w:pPr>
      <w:r w:rsidRPr="00E10557">
        <w:t>所以採用方案</w:t>
      </w:r>
      <w:r w:rsidRPr="00E10557">
        <w:t>3</w:t>
      </w:r>
      <w:r w:rsidRPr="00E10557">
        <w:t>是最佳的方式。</w:t>
      </w:r>
    </w:p>
    <w:p w:rsidR="00FE10DB" w:rsidRPr="00E10557" w:rsidRDefault="00FE10DB" w:rsidP="00DD26E7">
      <w:pPr>
        <w:spacing w:line="360" w:lineRule="auto"/>
      </w:pPr>
    </w:p>
    <w:p w:rsidR="00605A3D" w:rsidRPr="00E10557" w:rsidRDefault="00FE10DB" w:rsidP="00DD26E7">
      <w:pPr>
        <w:spacing w:line="360" w:lineRule="auto"/>
      </w:pPr>
      <w:r w:rsidRPr="00E10557">
        <w:t>淨現值與資金需求</w:t>
      </w:r>
      <w:r w:rsidR="00D20807" w:rsidRPr="00E10557">
        <w:t>：</w:t>
      </w:r>
    </w:p>
    <w:p w:rsidR="00FE10DB" w:rsidRPr="00E10557" w:rsidRDefault="00FE10DB" w:rsidP="00DD26E7">
      <w:pPr>
        <w:spacing w:line="360" w:lineRule="auto"/>
      </w:pPr>
      <w:r w:rsidRPr="00E10557">
        <w:t>延伸例</w:t>
      </w:r>
      <w:r w:rsidRPr="00E10557">
        <w:t>3.5</w:t>
      </w:r>
      <w:r w:rsidRPr="00E10557">
        <w:t>，倘若以第</w:t>
      </w:r>
      <w:r w:rsidRPr="00E10557">
        <w:t>3</w:t>
      </w:r>
      <w:r w:rsidRPr="00E10557">
        <w:t>種處置方式，你手上沒有現金支付經理人年薪</w:t>
      </w:r>
      <w:r w:rsidRPr="00E10557">
        <w:t>50,000</w:t>
      </w:r>
      <w:r w:rsidR="00B03099" w:rsidRPr="00E10557">
        <w:t>美</w:t>
      </w:r>
      <w:r w:rsidRPr="00E10557">
        <w:t>元，且因為要讀書還要支付</w:t>
      </w:r>
      <w:r w:rsidRPr="00E10557">
        <w:t>60,000</w:t>
      </w:r>
      <w:r w:rsidR="00B03099" w:rsidRPr="00E10557">
        <w:t>美</w:t>
      </w:r>
      <w:r w:rsidRPr="00E10557">
        <w:t>元</w:t>
      </w:r>
      <w:proofErr w:type="gramStart"/>
      <w:r w:rsidRPr="00E10557">
        <w:t>的學雜生活費</w:t>
      </w:r>
      <w:proofErr w:type="gramEnd"/>
      <w:r w:rsidR="00B03099" w:rsidRPr="00E10557">
        <w:t>，</w:t>
      </w:r>
      <w:r w:rsidR="00D20807" w:rsidRPr="00E10557">
        <w:t>你可以現在就出售事業因應，若</w:t>
      </w:r>
      <w:r w:rsidR="00B03099" w:rsidRPr="00E10557">
        <w:t>不出售事業</w:t>
      </w:r>
      <w:r w:rsidR="00D20807" w:rsidRPr="00E10557">
        <w:t>則</w:t>
      </w:r>
      <w:r w:rsidR="00B03099" w:rsidRPr="00E10557">
        <w:t>要向銀行借</w:t>
      </w:r>
      <w:r w:rsidR="00B03099" w:rsidRPr="00E10557">
        <w:t>110,000</w:t>
      </w:r>
      <w:r w:rsidR="00B03099" w:rsidRPr="00E10557">
        <w:t>美元</w:t>
      </w:r>
      <w:r w:rsidRPr="00E10557">
        <w:t>，我們繼續討論第</w:t>
      </w:r>
      <w:r w:rsidRPr="00E10557">
        <w:t>1</w:t>
      </w:r>
      <w:r w:rsidRPr="00E10557">
        <w:t>種及第</w:t>
      </w:r>
      <w:r w:rsidRPr="00E10557">
        <w:t>3</w:t>
      </w:r>
      <w:r w:rsidRPr="00E10557">
        <w:t>種方式何者較佳</w:t>
      </w:r>
      <w:r w:rsidRPr="00E10557">
        <w:t>(</w:t>
      </w:r>
      <w:r w:rsidRPr="00E10557">
        <w:t>第</w:t>
      </w:r>
      <w:r w:rsidRPr="00E10557">
        <w:t>2</w:t>
      </w:r>
      <w:r w:rsidRPr="00E10557">
        <w:t>種方式已經可以完全不考慮了</w:t>
      </w:r>
      <w:r w:rsidRPr="00E10557">
        <w:t>)</w:t>
      </w:r>
    </w:p>
    <w:p w:rsidR="00FE10DB" w:rsidRPr="00E10557" w:rsidRDefault="00FE10DB" w:rsidP="00DD26E7">
      <w:pPr>
        <w:spacing w:line="360" w:lineRule="auto"/>
      </w:pPr>
      <w:r w:rsidRPr="00E10557">
        <w:t>第</w:t>
      </w:r>
      <w:r w:rsidRPr="00E10557">
        <w:t>1</w:t>
      </w:r>
      <w:r w:rsidRPr="00E10557">
        <w:t>種處置方式</w:t>
      </w:r>
      <w:r w:rsidR="00EB48A7" w:rsidRPr="00E10557">
        <w:t>：</w:t>
      </w:r>
    </w:p>
    <w:tbl>
      <w:tblPr>
        <w:tblStyle w:val="a7"/>
        <w:tblW w:w="0" w:type="auto"/>
        <w:tblLook w:val="04A0" w:firstRow="1" w:lastRow="0" w:firstColumn="1" w:lastColumn="0" w:noHBand="0" w:noVBand="1"/>
      </w:tblPr>
      <w:tblGrid>
        <w:gridCol w:w="2782"/>
        <w:gridCol w:w="2784"/>
        <w:gridCol w:w="2956"/>
      </w:tblGrid>
      <w:tr w:rsidR="00FE10DB" w:rsidRPr="00E10557" w:rsidTr="00FE10DB">
        <w:tc>
          <w:tcPr>
            <w:tcW w:w="2787" w:type="dxa"/>
          </w:tcPr>
          <w:p w:rsidR="00FE10DB" w:rsidRPr="00E10557" w:rsidRDefault="00FE10DB" w:rsidP="00DD26E7">
            <w:pPr>
              <w:spacing w:line="360" w:lineRule="auto"/>
            </w:pPr>
          </w:p>
        </w:tc>
        <w:tc>
          <w:tcPr>
            <w:tcW w:w="2787" w:type="dxa"/>
          </w:tcPr>
          <w:p w:rsidR="00FE10DB" w:rsidRPr="00E10557" w:rsidRDefault="00FE10DB" w:rsidP="00DD26E7">
            <w:pPr>
              <w:spacing w:line="360" w:lineRule="auto"/>
            </w:pPr>
            <w:r w:rsidRPr="00E10557">
              <w:t>第</w:t>
            </w:r>
            <w:r w:rsidRPr="00E10557">
              <w:t>0</w:t>
            </w:r>
            <w:r w:rsidRPr="00E10557">
              <w:t>年</w:t>
            </w:r>
          </w:p>
        </w:tc>
        <w:tc>
          <w:tcPr>
            <w:tcW w:w="2788" w:type="dxa"/>
          </w:tcPr>
          <w:p w:rsidR="00FE10DB" w:rsidRPr="00E10557" w:rsidRDefault="00FE10DB" w:rsidP="00DD26E7">
            <w:pPr>
              <w:spacing w:line="360" w:lineRule="auto"/>
            </w:pPr>
            <w:r w:rsidRPr="00E10557">
              <w:t>第</w:t>
            </w:r>
            <w:r w:rsidRPr="00E10557">
              <w:t>1</w:t>
            </w:r>
            <w:r w:rsidRPr="00E10557">
              <w:t>年</w:t>
            </w:r>
          </w:p>
        </w:tc>
      </w:tr>
      <w:tr w:rsidR="00FE10DB" w:rsidRPr="00E10557" w:rsidTr="00FE10DB">
        <w:tc>
          <w:tcPr>
            <w:tcW w:w="2787" w:type="dxa"/>
          </w:tcPr>
          <w:p w:rsidR="00FE10DB" w:rsidRPr="00E10557" w:rsidRDefault="00FE10DB" w:rsidP="00DD26E7">
            <w:pPr>
              <w:spacing w:line="360" w:lineRule="auto"/>
            </w:pPr>
            <w:r w:rsidRPr="00E10557">
              <w:t>出售事業</w:t>
            </w:r>
          </w:p>
        </w:tc>
        <w:tc>
          <w:tcPr>
            <w:tcW w:w="2787" w:type="dxa"/>
          </w:tcPr>
          <w:p w:rsidR="00FE10DB" w:rsidRPr="00E10557" w:rsidRDefault="00FE10DB" w:rsidP="00DD26E7">
            <w:pPr>
              <w:spacing w:line="360" w:lineRule="auto"/>
            </w:pPr>
            <w:r w:rsidRPr="00E10557">
              <w:t>+200,000</w:t>
            </w:r>
          </w:p>
        </w:tc>
        <w:tc>
          <w:tcPr>
            <w:tcW w:w="2788" w:type="dxa"/>
          </w:tcPr>
          <w:p w:rsidR="00FE10DB" w:rsidRPr="00E10557" w:rsidRDefault="00FE10DB" w:rsidP="00DD26E7">
            <w:pPr>
              <w:spacing w:line="360" w:lineRule="auto"/>
            </w:pPr>
            <w:r w:rsidRPr="00E10557">
              <w:t>0</w:t>
            </w:r>
          </w:p>
        </w:tc>
      </w:tr>
      <w:tr w:rsidR="00FE10DB" w:rsidRPr="00E10557" w:rsidTr="00FE10DB">
        <w:tc>
          <w:tcPr>
            <w:tcW w:w="2787" w:type="dxa"/>
          </w:tcPr>
          <w:p w:rsidR="00FE10DB" w:rsidRPr="00E10557" w:rsidRDefault="00FE10DB" w:rsidP="00DD26E7">
            <w:pPr>
              <w:spacing w:line="360" w:lineRule="auto"/>
            </w:pPr>
            <w:r w:rsidRPr="00E10557">
              <w:t>支付</w:t>
            </w:r>
            <w:proofErr w:type="gramStart"/>
            <w:r w:rsidRPr="00E10557">
              <w:t>學雜及</w:t>
            </w:r>
            <w:proofErr w:type="gramEnd"/>
            <w:r w:rsidRPr="00E10557">
              <w:t>生活費</w:t>
            </w:r>
          </w:p>
        </w:tc>
        <w:tc>
          <w:tcPr>
            <w:tcW w:w="2787" w:type="dxa"/>
          </w:tcPr>
          <w:p w:rsidR="00FE10DB" w:rsidRPr="00E10557" w:rsidRDefault="00FE10DB" w:rsidP="00DD26E7">
            <w:pPr>
              <w:spacing w:line="360" w:lineRule="auto"/>
            </w:pPr>
            <w:r w:rsidRPr="00E10557">
              <w:t>-60,000</w:t>
            </w:r>
          </w:p>
        </w:tc>
        <w:tc>
          <w:tcPr>
            <w:tcW w:w="2788" w:type="dxa"/>
          </w:tcPr>
          <w:p w:rsidR="00FE10DB" w:rsidRPr="00E10557" w:rsidRDefault="00FE10DB" w:rsidP="00DD26E7">
            <w:pPr>
              <w:spacing w:line="360" w:lineRule="auto"/>
            </w:pPr>
            <w:r w:rsidRPr="00E10557">
              <w:t>0</w:t>
            </w:r>
          </w:p>
        </w:tc>
      </w:tr>
      <w:tr w:rsidR="00FE10DB" w:rsidRPr="00E10557" w:rsidTr="00FE10DB">
        <w:tc>
          <w:tcPr>
            <w:tcW w:w="2787" w:type="dxa"/>
          </w:tcPr>
          <w:p w:rsidR="00FE10DB" w:rsidRPr="00E10557" w:rsidRDefault="00A05471" w:rsidP="00DD26E7">
            <w:pPr>
              <w:spacing w:line="360" w:lineRule="auto"/>
            </w:pPr>
            <w:r w:rsidRPr="00E10557">
              <w:t>期初</w:t>
            </w:r>
            <w:r w:rsidR="00D20807" w:rsidRPr="00E10557">
              <w:t>銀行</w:t>
            </w:r>
            <w:r w:rsidR="00FE10DB" w:rsidRPr="00E10557">
              <w:t>存款</w:t>
            </w:r>
            <w:r w:rsidR="00D20807" w:rsidRPr="00E10557">
              <w:t>與</w:t>
            </w:r>
            <w:r w:rsidRPr="00E10557">
              <w:t>到期</w:t>
            </w:r>
            <w:r w:rsidR="00D20807" w:rsidRPr="00E10557">
              <w:t>回收</w:t>
            </w:r>
          </w:p>
        </w:tc>
        <w:tc>
          <w:tcPr>
            <w:tcW w:w="2787" w:type="dxa"/>
          </w:tcPr>
          <w:p w:rsidR="00FE10DB" w:rsidRPr="00E10557" w:rsidRDefault="00FE10DB" w:rsidP="00DD26E7">
            <w:pPr>
              <w:spacing w:line="360" w:lineRule="auto"/>
            </w:pPr>
            <w:r w:rsidRPr="00E10557">
              <w:t>-140,000</w:t>
            </w:r>
          </w:p>
        </w:tc>
        <w:tc>
          <w:tcPr>
            <w:tcW w:w="2788" w:type="dxa"/>
          </w:tcPr>
          <w:p w:rsidR="00FE10DB" w:rsidRPr="00E10557" w:rsidRDefault="00D20807" w:rsidP="00DD26E7">
            <w:pPr>
              <w:spacing w:line="360" w:lineRule="auto"/>
            </w:pPr>
            <w:r w:rsidRPr="00E10557">
              <w:t>+</w:t>
            </w:r>
            <w:r w:rsidR="00FE10DB" w:rsidRPr="00E10557">
              <w:t>140,000*(1+10%)=</w:t>
            </w:r>
            <w:r w:rsidR="00EB48A7" w:rsidRPr="00E10557">
              <w:t>154,000</w:t>
            </w:r>
          </w:p>
        </w:tc>
      </w:tr>
      <w:tr w:rsidR="00FE10DB" w:rsidRPr="00E10557" w:rsidTr="00FE10DB">
        <w:tc>
          <w:tcPr>
            <w:tcW w:w="2787" w:type="dxa"/>
          </w:tcPr>
          <w:p w:rsidR="00FE10DB" w:rsidRPr="00E10557" w:rsidRDefault="00FE10DB" w:rsidP="00DD26E7">
            <w:pPr>
              <w:spacing w:line="360" w:lineRule="auto"/>
            </w:pPr>
            <w:r w:rsidRPr="00E10557">
              <w:t>現金流量</w:t>
            </w:r>
          </w:p>
        </w:tc>
        <w:tc>
          <w:tcPr>
            <w:tcW w:w="2787" w:type="dxa"/>
          </w:tcPr>
          <w:p w:rsidR="00FE10DB" w:rsidRPr="00E10557" w:rsidRDefault="00FE10DB" w:rsidP="00DD26E7">
            <w:pPr>
              <w:spacing w:line="360" w:lineRule="auto"/>
            </w:pPr>
            <w:r w:rsidRPr="00E10557">
              <w:t>0</w:t>
            </w:r>
          </w:p>
        </w:tc>
        <w:tc>
          <w:tcPr>
            <w:tcW w:w="2788" w:type="dxa"/>
          </w:tcPr>
          <w:p w:rsidR="00FE10DB" w:rsidRPr="00E10557" w:rsidRDefault="00D20807" w:rsidP="00DD26E7">
            <w:pPr>
              <w:spacing w:line="360" w:lineRule="auto"/>
            </w:pPr>
            <w:r w:rsidRPr="00E10557">
              <w:t>+</w:t>
            </w:r>
            <w:r w:rsidR="00EB48A7" w:rsidRPr="00E10557">
              <w:t>154,000</w:t>
            </w:r>
          </w:p>
        </w:tc>
      </w:tr>
    </w:tbl>
    <w:p w:rsidR="00605A3D" w:rsidRPr="00E10557" w:rsidRDefault="00605A3D" w:rsidP="00DD26E7">
      <w:pPr>
        <w:spacing w:line="360" w:lineRule="auto"/>
      </w:pPr>
    </w:p>
    <w:p w:rsidR="00EB48A7" w:rsidRPr="00E10557" w:rsidRDefault="00EB48A7" w:rsidP="00EB48A7">
      <w:pPr>
        <w:spacing w:line="360" w:lineRule="auto"/>
      </w:pPr>
      <w:r w:rsidRPr="00E10557">
        <w:t>第</w:t>
      </w:r>
      <w:r w:rsidR="00D20807" w:rsidRPr="00E10557">
        <w:t>3</w:t>
      </w:r>
      <w:r w:rsidRPr="00E10557">
        <w:t>種處置方式：</w:t>
      </w:r>
    </w:p>
    <w:tbl>
      <w:tblPr>
        <w:tblStyle w:val="a7"/>
        <w:tblW w:w="0" w:type="auto"/>
        <w:tblLook w:val="04A0" w:firstRow="1" w:lastRow="0" w:firstColumn="1" w:lastColumn="0" w:noHBand="0" w:noVBand="1"/>
      </w:tblPr>
      <w:tblGrid>
        <w:gridCol w:w="2766"/>
        <w:gridCol w:w="2772"/>
        <w:gridCol w:w="2984"/>
      </w:tblGrid>
      <w:tr w:rsidR="00EB48A7" w:rsidRPr="00E10557" w:rsidTr="00F96B57">
        <w:tc>
          <w:tcPr>
            <w:tcW w:w="2787" w:type="dxa"/>
          </w:tcPr>
          <w:p w:rsidR="00EB48A7" w:rsidRPr="00E10557" w:rsidRDefault="00EB48A7" w:rsidP="00F96B57">
            <w:pPr>
              <w:spacing w:line="360" w:lineRule="auto"/>
            </w:pPr>
          </w:p>
        </w:tc>
        <w:tc>
          <w:tcPr>
            <w:tcW w:w="2787" w:type="dxa"/>
          </w:tcPr>
          <w:p w:rsidR="00EB48A7" w:rsidRPr="00E10557" w:rsidRDefault="00EB48A7" w:rsidP="00F96B57">
            <w:pPr>
              <w:spacing w:line="360" w:lineRule="auto"/>
            </w:pPr>
            <w:r w:rsidRPr="00E10557">
              <w:t>第</w:t>
            </w:r>
            <w:r w:rsidRPr="00E10557">
              <w:t>0</w:t>
            </w:r>
            <w:r w:rsidRPr="00E10557">
              <w:t>年</w:t>
            </w:r>
          </w:p>
        </w:tc>
        <w:tc>
          <w:tcPr>
            <w:tcW w:w="2788" w:type="dxa"/>
          </w:tcPr>
          <w:p w:rsidR="00EB48A7" w:rsidRPr="00E10557" w:rsidRDefault="00EB48A7" w:rsidP="00F96B57">
            <w:pPr>
              <w:spacing w:line="360" w:lineRule="auto"/>
            </w:pPr>
            <w:r w:rsidRPr="00E10557">
              <w:t>第</w:t>
            </w:r>
            <w:r w:rsidRPr="00E10557">
              <w:t>1</w:t>
            </w:r>
            <w:r w:rsidRPr="00E10557">
              <w:t>年</w:t>
            </w:r>
          </w:p>
        </w:tc>
      </w:tr>
      <w:tr w:rsidR="00EB48A7" w:rsidRPr="00E10557" w:rsidTr="00F96B57">
        <w:tc>
          <w:tcPr>
            <w:tcW w:w="2787" w:type="dxa"/>
          </w:tcPr>
          <w:p w:rsidR="00EB48A7" w:rsidRPr="00E10557" w:rsidRDefault="00A05471" w:rsidP="00F96B57">
            <w:pPr>
              <w:spacing w:line="360" w:lineRule="auto"/>
            </w:pPr>
            <w:r w:rsidRPr="00E10557">
              <w:t>期初</w:t>
            </w:r>
            <w:r w:rsidR="00EB48A7" w:rsidRPr="00E10557">
              <w:t>銀行借款</w:t>
            </w:r>
            <w:r w:rsidR="00D20807" w:rsidRPr="00E10557">
              <w:t>與</w:t>
            </w:r>
            <w:r w:rsidRPr="00E10557">
              <w:t>到期</w:t>
            </w:r>
            <w:r w:rsidR="00D20807" w:rsidRPr="00E10557">
              <w:t>償還</w:t>
            </w:r>
          </w:p>
        </w:tc>
        <w:tc>
          <w:tcPr>
            <w:tcW w:w="2787" w:type="dxa"/>
          </w:tcPr>
          <w:p w:rsidR="00EB48A7" w:rsidRPr="00E10557" w:rsidRDefault="00EB48A7" w:rsidP="00F96B57">
            <w:pPr>
              <w:spacing w:line="360" w:lineRule="auto"/>
            </w:pPr>
            <w:r w:rsidRPr="00E10557">
              <w:t>+110,000</w:t>
            </w:r>
          </w:p>
        </w:tc>
        <w:tc>
          <w:tcPr>
            <w:tcW w:w="2788" w:type="dxa"/>
          </w:tcPr>
          <w:p w:rsidR="00EB48A7" w:rsidRPr="00E10557" w:rsidRDefault="00EB48A7" w:rsidP="00F96B57">
            <w:pPr>
              <w:spacing w:line="360" w:lineRule="auto"/>
            </w:pPr>
            <w:r w:rsidRPr="00E10557">
              <w:t>-110,000*(1+10%)=-121,000</w:t>
            </w:r>
          </w:p>
        </w:tc>
      </w:tr>
      <w:tr w:rsidR="00EB48A7" w:rsidRPr="00E10557" w:rsidTr="00F96B57">
        <w:tc>
          <w:tcPr>
            <w:tcW w:w="2787" w:type="dxa"/>
          </w:tcPr>
          <w:p w:rsidR="00EB48A7" w:rsidRPr="00E10557" w:rsidRDefault="00EB48A7" w:rsidP="00F96B57">
            <w:pPr>
              <w:spacing w:line="360" w:lineRule="auto"/>
            </w:pPr>
            <w:r w:rsidRPr="00E10557">
              <w:t>支付</w:t>
            </w:r>
            <w:proofErr w:type="gramStart"/>
            <w:r w:rsidRPr="00E10557">
              <w:t>學雜及</w:t>
            </w:r>
            <w:proofErr w:type="gramEnd"/>
            <w:r w:rsidRPr="00E10557">
              <w:t>生活費</w:t>
            </w:r>
          </w:p>
        </w:tc>
        <w:tc>
          <w:tcPr>
            <w:tcW w:w="2787" w:type="dxa"/>
          </w:tcPr>
          <w:p w:rsidR="00EB48A7" w:rsidRPr="00E10557" w:rsidRDefault="00EB48A7" w:rsidP="00F96B57">
            <w:pPr>
              <w:spacing w:line="360" w:lineRule="auto"/>
            </w:pPr>
            <w:r w:rsidRPr="00E10557">
              <w:t>-60,000</w:t>
            </w:r>
          </w:p>
        </w:tc>
        <w:tc>
          <w:tcPr>
            <w:tcW w:w="2788" w:type="dxa"/>
          </w:tcPr>
          <w:p w:rsidR="00EB48A7" w:rsidRPr="00E10557" w:rsidRDefault="00EB48A7" w:rsidP="00F96B57">
            <w:pPr>
              <w:spacing w:line="360" w:lineRule="auto"/>
            </w:pPr>
            <w:r w:rsidRPr="00E10557">
              <w:t>0</w:t>
            </w:r>
          </w:p>
        </w:tc>
      </w:tr>
      <w:tr w:rsidR="00EB48A7" w:rsidRPr="00E10557" w:rsidTr="00F96B57">
        <w:tc>
          <w:tcPr>
            <w:tcW w:w="2787" w:type="dxa"/>
          </w:tcPr>
          <w:p w:rsidR="00EB48A7" w:rsidRPr="00E10557" w:rsidRDefault="00EB48A7" w:rsidP="00F96B57">
            <w:pPr>
              <w:spacing w:line="360" w:lineRule="auto"/>
            </w:pPr>
            <w:r w:rsidRPr="00E10557">
              <w:t>支付經理人年薪</w:t>
            </w:r>
          </w:p>
        </w:tc>
        <w:tc>
          <w:tcPr>
            <w:tcW w:w="2787" w:type="dxa"/>
          </w:tcPr>
          <w:p w:rsidR="00EB48A7" w:rsidRPr="00E10557" w:rsidRDefault="00EB48A7" w:rsidP="00F96B57">
            <w:pPr>
              <w:spacing w:line="360" w:lineRule="auto"/>
            </w:pPr>
            <w:r w:rsidRPr="00E10557">
              <w:t>-50,000</w:t>
            </w:r>
          </w:p>
        </w:tc>
        <w:tc>
          <w:tcPr>
            <w:tcW w:w="2788" w:type="dxa"/>
          </w:tcPr>
          <w:p w:rsidR="00EB48A7" w:rsidRPr="00E10557" w:rsidRDefault="00EB48A7" w:rsidP="00F96B57">
            <w:pPr>
              <w:spacing w:line="360" w:lineRule="auto"/>
            </w:pPr>
            <w:r w:rsidRPr="00E10557">
              <w:t>0</w:t>
            </w:r>
          </w:p>
        </w:tc>
      </w:tr>
      <w:tr w:rsidR="00EB48A7" w:rsidRPr="00E10557" w:rsidTr="00F96B57">
        <w:tc>
          <w:tcPr>
            <w:tcW w:w="2787" w:type="dxa"/>
          </w:tcPr>
          <w:p w:rsidR="00EB48A7" w:rsidRPr="00E10557" w:rsidRDefault="00EB48A7" w:rsidP="00F96B57">
            <w:pPr>
              <w:spacing w:line="360" w:lineRule="auto"/>
            </w:pPr>
            <w:r w:rsidRPr="00E10557">
              <w:t>事業收益</w:t>
            </w:r>
          </w:p>
        </w:tc>
        <w:tc>
          <w:tcPr>
            <w:tcW w:w="2787" w:type="dxa"/>
          </w:tcPr>
          <w:p w:rsidR="00EB48A7" w:rsidRPr="00E10557" w:rsidRDefault="00B03099" w:rsidP="00F96B57">
            <w:pPr>
              <w:spacing w:line="360" w:lineRule="auto"/>
            </w:pPr>
            <w:r w:rsidRPr="00E10557">
              <w:t>0</w:t>
            </w:r>
          </w:p>
        </w:tc>
        <w:tc>
          <w:tcPr>
            <w:tcW w:w="2788" w:type="dxa"/>
          </w:tcPr>
          <w:p w:rsidR="00EB48A7" w:rsidRPr="00E10557" w:rsidRDefault="00EB48A7" w:rsidP="00F96B57">
            <w:pPr>
              <w:spacing w:line="360" w:lineRule="auto"/>
            </w:pPr>
            <w:r w:rsidRPr="00E10557">
              <w:t>+300000</w:t>
            </w:r>
          </w:p>
        </w:tc>
      </w:tr>
      <w:tr w:rsidR="00EB48A7" w:rsidRPr="00E10557" w:rsidTr="00F96B57">
        <w:tc>
          <w:tcPr>
            <w:tcW w:w="2787" w:type="dxa"/>
          </w:tcPr>
          <w:p w:rsidR="00EB48A7" w:rsidRPr="00E10557" w:rsidRDefault="00EB48A7" w:rsidP="00F96B57">
            <w:pPr>
              <w:spacing w:line="360" w:lineRule="auto"/>
            </w:pPr>
            <w:r w:rsidRPr="00E10557">
              <w:t>現金流量</w:t>
            </w:r>
          </w:p>
        </w:tc>
        <w:tc>
          <w:tcPr>
            <w:tcW w:w="2787" w:type="dxa"/>
          </w:tcPr>
          <w:p w:rsidR="00EB48A7" w:rsidRPr="00E10557" w:rsidRDefault="00EB48A7" w:rsidP="00F96B57">
            <w:pPr>
              <w:spacing w:line="360" w:lineRule="auto"/>
            </w:pPr>
            <w:r w:rsidRPr="00E10557">
              <w:t>0</w:t>
            </w:r>
          </w:p>
        </w:tc>
        <w:tc>
          <w:tcPr>
            <w:tcW w:w="2788" w:type="dxa"/>
          </w:tcPr>
          <w:p w:rsidR="00EB48A7" w:rsidRPr="00E10557" w:rsidRDefault="00D20807" w:rsidP="00F96B57">
            <w:pPr>
              <w:spacing w:line="360" w:lineRule="auto"/>
            </w:pPr>
            <w:r w:rsidRPr="00E10557">
              <w:t>+</w:t>
            </w:r>
            <w:r w:rsidR="00EB48A7" w:rsidRPr="00E10557">
              <w:t>179,000</w:t>
            </w:r>
          </w:p>
        </w:tc>
      </w:tr>
    </w:tbl>
    <w:p w:rsidR="00D20807" w:rsidRPr="00E10557" w:rsidRDefault="00D20807" w:rsidP="00DD26E7">
      <w:pPr>
        <w:spacing w:line="360" w:lineRule="auto"/>
      </w:pPr>
      <w:r w:rsidRPr="00E10557">
        <w:t>由</w:t>
      </w:r>
      <w:proofErr w:type="gramStart"/>
      <w:r w:rsidRPr="00E10557">
        <w:t>上面兩表可以</w:t>
      </w:r>
      <w:proofErr w:type="gramEnd"/>
      <w:r w:rsidRPr="00E10557">
        <w:t>很清楚看到：仍然是第</w:t>
      </w:r>
      <w:r w:rsidRPr="00E10557">
        <w:t>3</w:t>
      </w:r>
      <w:r w:rsidRPr="00E10557">
        <w:t>種處理方式較佳。從以上的討論，我們可以獲得以下一個一般性的原則：</w:t>
      </w:r>
    </w:p>
    <w:p w:rsidR="00D20807" w:rsidRPr="00E10557" w:rsidRDefault="00D20807" w:rsidP="00DD26E7">
      <w:pPr>
        <w:spacing w:line="360" w:lineRule="auto"/>
      </w:pPr>
      <w:r w:rsidRPr="00E10557">
        <w:rPr>
          <w:rFonts w:ascii="細明體" w:eastAsia="細明體" w:hAnsi="細明體" w:cs="細明體" w:hint="eastAsia"/>
        </w:rPr>
        <w:t>◎</w:t>
      </w:r>
      <w:r w:rsidRPr="00E10557">
        <w:t>必須現以</w:t>
      </w:r>
      <w:r w:rsidRPr="00E10557">
        <w:t>NPV</w:t>
      </w:r>
      <w:r w:rsidR="00745010" w:rsidRPr="00E10557">
        <w:t>的極大化原則進行投資決策分析，再利用借或貸款調整到所偏</w:t>
      </w:r>
      <w:r w:rsidRPr="00E10557">
        <w:t>好的現金流量。</w:t>
      </w:r>
    </w:p>
    <w:p w:rsidR="00D20807" w:rsidRPr="00E10557" w:rsidRDefault="00D20807">
      <w:pPr>
        <w:widowControl/>
      </w:pPr>
      <w:r w:rsidRPr="00E10557">
        <w:br w:type="page"/>
      </w:r>
    </w:p>
    <w:p w:rsidR="00D20807" w:rsidRPr="00E10557" w:rsidRDefault="00D20807" w:rsidP="00DD26E7">
      <w:pPr>
        <w:spacing w:line="360" w:lineRule="auto"/>
      </w:pPr>
      <w:r w:rsidRPr="00E10557">
        <w:t>3.4</w:t>
      </w:r>
      <w:r w:rsidRPr="00E10557">
        <w:t>套利與單一價格律</w:t>
      </w:r>
    </w:p>
    <w:p w:rsidR="008E3465" w:rsidRPr="00E10557" w:rsidRDefault="008E3465" w:rsidP="00DD26E7">
      <w:pPr>
        <w:spacing w:line="360" w:lineRule="auto"/>
      </w:pPr>
      <w:r w:rsidRPr="00E10557">
        <w:t>套利：</w:t>
      </w:r>
    </w:p>
    <w:p w:rsidR="00D20807" w:rsidRPr="00E10557" w:rsidRDefault="008E3465" w:rsidP="00DD26E7">
      <w:pPr>
        <w:spacing w:line="360" w:lineRule="auto"/>
      </w:pPr>
      <w:r w:rsidRPr="00E10557">
        <w:t>本章中一再強調計算</w:t>
      </w:r>
      <w:r w:rsidRPr="00E10557">
        <w:t>NPV</w:t>
      </w:r>
      <w:r w:rsidRPr="00E10557">
        <w:t>時要用競爭市場價格，當同樣一種商品在不同市場有不同交易價格時，就會存在套利機會</w:t>
      </w:r>
      <w:r w:rsidRPr="00E10557">
        <w:t>(arbitrage opportunity)</w:t>
      </w:r>
      <w:r w:rsidRPr="00E10557">
        <w:t>，將會引發「在價格較高的市場中賣出、在價格較低的市場中買進」的</w:t>
      </w:r>
      <w:r w:rsidR="00745010" w:rsidRPr="00E10557">
        <w:t>套利</w:t>
      </w:r>
      <w:r w:rsidRPr="00E10557">
        <w:t>交易，從而使得商品的價格趨於一致。通常這種套利機會存在的時間極短，現今不是透過人為判斷，而是</w:t>
      </w:r>
      <w:r w:rsidR="00745010" w:rsidRPr="00E10557">
        <w:t>利用電</w:t>
      </w:r>
      <w:r w:rsidRPr="00E10557">
        <w:t>腦監控並進行程式交易。</w:t>
      </w:r>
    </w:p>
    <w:p w:rsidR="00745010" w:rsidRPr="00E10557" w:rsidRDefault="00745010" w:rsidP="00DD26E7">
      <w:pPr>
        <w:spacing w:line="360" w:lineRule="auto"/>
      </w:pPr>
    </w:p>
    <w:p w:rsidR="008E3465" w:rsidRPr="00E10557" w:rsidRDefault="008E3465" w:rsidP="00DD26E7">
      <w:pPr>
        <w:spacing w:line="360" w:lineRule="auto"/>
      </w:pPr>
      <w:r w:rsidRPr="00E10557">
        <w:rPr>
          <w:rFonts w:ascii="細明體" w:eastAsia="細明體" w:hAnsi="細明體" w:cs="細明體" w:hint="eastAsia"/>
        </w:rPr>
        <w:t>◎</w:t>
      </w:r>
      <w:r w:rsidRPr="00E10557">
        <w:t>套利機會：任何投資或</w:t>
      </w:r>
      <w:proofErr w:type="gramStart"/>
      <w:r w:rsidR="009D38B9" w:rsidRPr="00E10557">
        <w:t>不</w:t>
      </w:r>
      <w:proofErr w:type="gramEnd"/>
      <w:r w:rsidR="009D38B9" w:rsidRPr="00E10557">
        <w:t>涉風險的活動</w:t>
      </w:r>
      <w:r w:rsidR="004D2440">
        <w:rPr>
          <w:rFonts w:asciiTheme="minorEastAsia" w:hAnsiTheme="minorEastAsia" w:hint="eastAsia"/>
        </w:rPr>
        <w:t>，</w:t>
      </w:r>
      <w:r w:rsidR="004D2440">
        <w:rPr>
          <w:rFonts w:hint="eastAsia"/>
        </w:rPr>
        <w:t>若有機會</w:t>
      </w:r>
      <w:r w:rsidR="009D38B9" w:rsidRPr="00E10557">
        <w:t>可以獲取利潤的情境</w:t>
      </w:r>
      <w:proofErr w:type="gramStart"/>
      <w:r w:rsidR="009D38B9" w:rsidRPr="00E10557">
        <w:t>都稱套利</w:t>
      </w:r>
      <w:proofErr w:type="gramEnd"/>
      <w:r w:rsidR="009D38B9" w:rsidRPr="00E10557">
        <w:t>機會。</w:t>
      </w:r>
    </w:p>
    <w:p w:rsidR="009D38B9" w:rsidRPr="00E10557" w:rsidRDefault="009D38B9" w:rsidP="00DD26E7">
      <w:pPr>
        <w:spacing w:line="360" w:lineRule="auto"/>
      </w:pPr>
      <w:r w:rsidRPr="00E10557">
        <w:rPr>
          <w:rFonts w:ascii="細明體" w:eastAsia="細明體" w:hAnsi="細明體" w:cs="細明體" w:hint="eastAsia"/>
        </w:rPr>
        <w:t>◎</w:t>
      </w:r>
      <w:r w:rsidRPr="00E10557">
        <w:t>正常市場</w:t>
      </w:r>
      <w:r w:rsidRPr="00E10557">
        <w:t>(normal market)</w:t>
      </w:r>
      <w:r w:rsidRPr="00E10557">
        <w:t>：在競爭市場中若不存在套利機會，稱其為正常市場。</w:t>
      </w:r>
    </w:p>
    <w:p w:rsidR="009D38B9" w:rsidRPr="00E10557" w:rsidRDefault="009D38B9" w:rsidP="00DD26E7">
      <w:pPr>
        <w:spacing w:line="360" w:lineRule="auto"/>
      </w:pPr>
    </w:p>
    <w:p w:rsidR="009D38B9" w:rsidRPr="00E10557" w:rsidRDefault="009D38B9" w:rsidP="00DD26E7">
      <w:pPr>
        <w:spacing w:line="360" w:lineRule="auto"/>
      </w:pPr>
      <w:r w:rsidRPr="00E10557">
        <w:t>單一價格律：</w:t>
      </w:r>
    </w:p>
    <w:p w:rsidR="009D38B9" w:rsidRPr="00E10557" w:rsidRDefault="009D38B9" w:rsidP="00DD26E7">
      <w:pPr>
        <w:spacing w:line="360" w:lineRule="auto"/>
      </w:pPr>
      <w:r w:rsidRPr="00E10557">
        <w:t>如果在不同的市場，均等的投資機會</w:t>
      </w:r>
      <w:r w:rsidR="002832D4">
        <w:rPr>
          <w:rFonts w:hint="eastAsia"/>
        </w:rPr>
        <w:t>若</w:t>
      </w:r>
      <w:r w:rsidRPr="00E10557">
        <w:t>可同時被交易，則各市場</w:t>
      </w:r>
      <w:r w:rsidR="00745010" w:rsidRPr="00E10557">
        <w:t>對該投資機會</w:t>
      </w:r>
      <w:r w:rsidRPr="00E10557">
        <w:t>之交易價格必都相同。</w:t>
      </w:r>
    </w:p>
    <w:p w:rsidR="009D38B9" w:rsidRPr="00E10557" w:rsidRDefault="009D38B9" w:rsidP="00DD26E7">
      <w:pPr>
        <w:spacing w:line="360" w:lineRule="auto"/>
      </w:pPr>
    </w:p>
    <w:p w:rsidR="009D38B9" w:rsidRPr="00E10557" w:rsidRDefault="009D38B9">
      <w:pPr>
        <w:widowControl/>
      </w:pPr>
      <w:r w:rsidRPr="00E10557">
        <w:br w:type="page"/>
      </w:r>
    </w:p>
    <w:p w:rsidR="009D38B9" w:rsidRPr="00E10557" w:rsidRDefault="009D38B9" w:rsidP="00DD26E7">
      <w:pPr>
        <w:spacing w:line="360" w:lineRule="auto"/>
      </w:pPr>
      <w:r w:rsidRPr="00E10557">
        <w:t xml:space="preserve">3.5 </w:t>
      </w:r>
      <w:proofErr w:type="gramStart"/>
      <w:r w:rsidRPr="00E10557">
        <w:t>無套利</w:t>
      </w:r>
      <w:proofErr w:type="gramEnd"/>
      <w:r w:rsidRPr="00E10557">
        <w:t>機會下的資產訂價</w:t>
      </w:r>
    </w:p>
    <w:p w:rsidR="00932138" w:rsidRPr="00E10557" w:rsidRDefault="00932138" w:rsidP="00DD26E7">
      <w:pPr>
        <w:spacing w:line="360" w:lineRule="auto"/>
      </w:pPr>
      <w:r w:rsidRPr="00E10557">
        <w:t>利用單一價格律評價資產價值</w:t>
      </w:r>
    </w:p>
    <w:p w:rsidR="009D38B9" w:rsidRPr="00E10557" w:rsidRDefault="00932138" w:rsidP="00DD26E7">
      <w:pPr>
        <w:spacing w:line="360" w:lineRule="auto"/>
      </w:pPr>
      <w:r w:rsidRPr="00E10557">
        <w:t>根據單一價格律，均等的投資機會其價值必然相同，因此若有兩個以上的均等的投資機會，當其中一個的市場價格已知，則其他均等的投資機會的價格</w:t>
      </w:r>
      <w:r w:rsidR="00745010" w:rsidRPr="00E10557">
        <w:t>也會相同</w:t>
      </w:r>
      <w:r w:rsidRPr="00E10557">
        <w:t>。假設有一個一年期的定存，無風險存放款利率為</w:t>
      </w:r>
      <w:r w:rsidRPr="00E10557">
        <w:t>5%</w:t>
      </w:r>
      <w:r w:rsidRPr="00E10557">
        <w:rPr>
          <w:rFonts w:eastAsia="新細明體"/>
        </w:rPr>
        <w:t>，</w:t>
      </w:r>
      <w:r w:rsidRPr="00E10557">
        <w:t>即若存入</w:t>
      </w:r>
      <w:r w:rsidRPr="00E10557">
        <w:t>952.38</w:t>
      </w:r>
      <w:r w:rsidRPr="00E10557">
        <w:t>美元，在</w:t>
      </w:r>
      <w:proofErr w:type="gramStart"/>
      <w:r w:rsidRPr="00E10557">
        <w:t>一</w:t>
      </w:r>
      <w:proofErr w:type="gramEnd"/>
      <w:r w:rsidRPr="00E10557">
        <w:t>年後可獲得</w:t>
      </w:r>
      <w:r w:rsidR="002B3FC0" w:rsidRPr="00E10557">
        <w:t>952.38*(1+5%)=</w:t>
      </w:r>
      <w:r w:rsidRPr="00E10557">
        <w:t>1,000</w:t>
      </w:r>
      <w:r w:rsidRPr="00E10557">
        <w:t>美元</w:t>
      </w:r>
      <w:r w:rsidRPr="00E10557">
        <w:rPr>
          <w:rFonts w:eastAsia="新細明體"/>
        </w:rPr>
        <w:t>，</w:t>
      </w:r>
      <w:r w:rsidRPr="00E10557">
        <w:t>另外有一個完全無風險的一年債券</w:t>
      </w:r>
      <w:r w:rsidRPr="00E10557">
        <w:t>(</w:t>
      </w:r>
      <w:r w:rsidRPr="00E10557">
        <w:t>如公債</w:t>
      </w:r>
      <w:r w:rsidRPr="00E10557">
        <w:t>)</w:t>
      </w:r>
      <w:r w:rsidRPr="00E10557">
        <w:rPr>
          <w:rFonts w:eastAsia="新細明體"/>
        </w:rPr>
        <w:t>，</w:t>
      </w:r>
      <w:r w:rsidRPr="00E10557">
        <w:t>在</w:t>
      </w:r>
      <w:proofErr w:type="gramStart"/>
      <w:r w:rsidRPr="00E10557">
        <w:t>一</w:t>
      </w:r>
      <w:proofErr w:type="gramEnd"/>
      <w:r w:rsidRPr="00E10557">
        <w:t>年後確定會償付投資人</w:t>
      </w:r>
      <w:r w:rsidRPr="00E10557">
        <w:t>1,000</w:t>
      </w:r>
      <w:r w:rsidRPr="00E10557">
        <w:t>美元，</w:t>
      </w:r>
      <w:r w:rsidR="002B3FC0" w:rsidRPr="00E10557">
        <w:t>則該債券的價格必然也是</w:t>
      </w:r>
      <w:r w:rsidR="002B3FC0" w:rsidRPr="00E10557">
        <w:t>952.38</w:t>
      </w:r>
      <w:r w:rsidR="002B3FC0" w:rsidRPr="00E10557">
        <w:t>美元，因為這兩</w:t>
      </w:r>
      <w:proofErr w:type="gramStart"/>
      <w:r w:rsidR="002B3FC0" w:rsidRPr="00E10557">
        <w:t>個</w:t>
      </w:r>
      <w:proofErr w:type="gramEnd"/>
      <w:r w:rsidR="002B3FC0" w:rsidRPr="00E10557">
        <w:t>投資機會所產生的現金流量完全相同，故為</w:t>
      </w:r>
      <w:r w:rsidR="008D341A" w:rsidRPr="00E10557">
        <w:t>兩者為</w:t>
      </w:r>
      <w:r w:rsidR="002B3FC0" w:rsidRPr="00E10557">
        <w:t>均等的投資機會，在正常市場情況下，他們目前的價格也都必然相同，亦即債券的價格為：</w:t>
      </w:r>
    </w:p>
    <w:p w:rsidR="002B3FC0" w:rsidRPr="00E10557" w:rsidRDefault="002B3FC0" w:rsidP="00DD26E7">
      <w:pPr>
        <w:spacing w:line="360" w:lineRule="auto"/>
      </w:pPr>
      <w:r w:rsidRPr="00E10557">
        <w:object w:dxaOrig="2280" w:dyaOrig="660">
          <v:shape id="_x0000_i1033" type="#_x0000_t75" style="width:114pt;height:33pt" o:ole="">
            <v:imagedata r:id="rId23" o:title=""/>
          </v:shape>
          <o:OLEObject Type="Embed" ProgID="Unknown" ShapeID="_x0000_i1033" DrawAspect="Content" ObjectID="_1629658800" r:id="rId24"/>
        </w:object>
      </w:r>
    </w:p>
    <w:p w:rsidR="002B3FC0" w:rsidRPr="00E10557" w:rsidRDefault="002B3FC0" w:rsidP="00DD26E7">
      <w:pPr>
        <w:spacing w:line="360" w:lineRule="auto"/>
      </w:pPr>
      <w:r w:rsidRPr="00E10557">
        <w:t>一旦市場上的價格偏離上述的價格就會產生套利機會</w:t>
      </w:r>
      <w:r w:rsidR="008D341A" w:rsidRPr="00E10557">
        <w:t>與套利交易</w:t>
      </w:r>
      <w:r w:rsidRPr="00E10557">
        <w:t>，從而使得價格回復到</w:t>
      </w:r>
      <w:r w:rsidRPr="00E10557">
        <w:t>952.38</w:t>
      </w:r>
      <w:r w:rsidRPr="00E10557">
        <w:t>美元。茲說明如下：</w:t>
      </w:r>
    </w:p>
    <w:p w:rsidR="002B3FC0" w:rsidRPr="00E10557" w:rsidRDefault="002B3FC0" w:rsidP="00DD26E7">
      <w:pPr>
        <w:spacing w:line="360" w:lineRule="auto"/>
      </w:pPr>
      <w:r w:rsidRPr="00E10557">
        <w:t>假若債券市價為</w:t>
      </w:r>
      <w:r w:rsidRPr="00E10557">
        <w:t>940</w:t>
      </w:r>
      <w:r w:rsidRPr="00E10557">
        <w:t>美元，則：</w:t>
      </w:r>
    </w:p>
    <w:tbl>
      <w:tblPr>
        <w:tblStyle w:val="a7"/>
        <w:tblW w:w="0" w:type="auto"/>
        <w:tblLook w:val="04A0" w:firstRow="1" w:lastRow="0" w:firstColumn="1" w:lastColumn="0" w:noHBand="0" w:noVBand="1"/>
      </w:tblPr>
      <w:tblGrid>
        <w:gridCol w:w="2766"/>
        <w:gridCol w:w="2772"/>
        <w:gridCol w:w="2984"/>
      </w:tblGrid>
      <w:tr w:rsidR="002B3FC0" w:rsidRPr="00E10557" w:rsidTr="002B3FC0">
        <w:tc>
          <w:tcPr>
            <w:tcW w:w="2766" w:type="dxa"/>
          </w:tcPr>
          <w:p w:rsidR="002B3FC0" w:rsidRPr="00E10557" w:rsidRDefault="002B3FC0" w:rsidP="00F96B57">
            <w:pPr>
              <w:spacing w:line="360" w:lineRule="auto"/>
            </w:pPr>
          </w:p>
        </w:tc>
        <w:tc>
          <w:tcPr>
            <w:tcW w:w="2772" w:type="dxa"/>
          </w:tcPr>
          <w:p w:rsidR="002B3FC0" w:rsidRPr="00E10557" w:rsidRDefault="002B3FC0" w:rsidP="00F96B57">
            <w:pPr>
              <w:spacing w:line="360" w:lineRule="auto"/>
            </w:pPr>
            <w:r w:rsidRPr="00E10557">
              <w:t>第</w:t>
            </w:r>
            <w:r w:rsidRPr="00E10557">
              <w:t>0</w:t>
            </w:r>
            <w:r w:rsidRPr="00E10557">
              <w:t>年</w:t>
            </w:r>
          </w:p>
        </w:tc>
        <w:tc>
          <w:tcPr>
            <w:tcW w:w="2984" w:type="dxa"/>
          </w:tcPr>
          <w:p w:rsidR="002B3FC0" w:rsidRPr="00E10557" w:rsidRDefault="002B3FC0" w:rsidP="00F96B57">
            <w:pPr>
              <w:spacing w:line="360" w:lineRule="auto"/>
            </w:pPr>
            <w:r w:rsidRPr="00E10557">
              <w:t>第</w:t>
            </w:r>
            <w:r w:rsidRPr="00E10557">
              <w:t>1</w:t>
            </w:r>
            <w:r w:rsidRPr="00E10557">
              <w:t>年</w:t>
            </w:r>
          </w:p>
        </w:tc>
      </w:tr>
      <w:tr w:rsidR="002B3FC0" w:rsidRPr="00E10557" w:rsidTr="002B3FC0">
        <w:tc>
          <w:tcPr>
            <w:tcW w:w="2766" w:type="dxa"/>
          </w:tcPr>
          <w:p w:rsidR="002B3FC0" w:rsidRPr="00E10557" w:rsidRDefault="002B3FC0" w:rsidP="00F96B57">
            <w:pPr>
              <w:spacing w:line="360" w:lineRule="auto"/>
            </w:pPr>
            <w:r w:rsidRPr="00E10557">
              <w:t>銀行借款與</w:t>
            </w:r>
            <w:r w:rsidR="00A05471" w:rsidRPr="00E10557">
              <w:t>到期</w:t>
            </w:r>
            <w:r w:rsidRPr="00E10557">
              <w:t>償還</w:t>
            </w:r>
          </w:p>
        </w:tc>
        <w:tc>
          <w:tcPr>
            <w:tcW w:w="2772" w:type="dxa"/>
          </w:tcPr>
          <w:p w:rsidR="002B3FC0" w:rsidRPr="00E10557" w:rsidRDefault="002B3FC0" w:rsidP="00F96B57">
            <w:pPr>
              <w:spacing w:line="360" w:lineRule="auto"/>
            </w:pPr>
            <w:r w:rsidRPr="00E10557">
              <w:t>+952.38</w:t>
            </w:r>
          </w:p>
        </w:tc>
        <w:tc>
          <w:tcPr>
            <w:tcW w:w="2984" w:type="dxa"/>
          </w:tcPr>
          <w:p w:rsidR="002B3FC0" w:rsidRPr="00E10557" w:rsidRDefault="002B3FC0" w:rsidP="00F96B57">
            <w:pPr>
              <w:spacing w:line="360" w:lineRule="auto"/>
            </w:pPr>
            <w:r w:rsidRPr="00E10557">
              <w:t>-952.38*(1+5%)=-1,000</w:t>
            </w:r>
          </w:p>
        </w:tc>
      </w:tr>
      <w:tr w:rsidR="002B3FC0" w:rsidRPr="00E10557" w:rsidTr="002B3FC0">
        <w:tc>
          <w:tcPr>
            <w:tcW w:w="2766" w:type="dxa"/>
          </w:tcPr>
          <w:p w:rsidR="002B3FC0" w:rsidRPr="00E10557" w:rsidRDefault="00A05471" w:rsidP="00F96B57">
            <w:pPr>
              <w:spacing w:line="360" w:lineRule="auto"/>
            </w:pPr>
            <w:r w:rsidRPr="00E10557">
              <w:t>期初</w:t>
            </w:r>
            <w:r w:rsidR="002B3FC0" w:rsidRPr="00E10557">
              <w:t>買入債券</w:t>
            </w:r>
            <w:r w:rsidRPr="00E10557">
              <w:t>與到期回收</w:t>
            </w:r>
          </w:p>
        </w:tc>
        <w:tc>
          <w:tcPr>
            <w:tcW w:w="2772" w:type="dxa"/>
          </w:tcPr>
          <w:p w:rsidR="002B3FC0" w:rsidRPr="00E10557" w:rsidRDefault="002B3FC0" w:rsidP="00F96B57">
            <w:pPr>
              <w:spacing w:line="360" w:lineRule="auto"/>
            </w:pPr>
            <w:r w:rsidRPr="00E10557">
              <w:t>-940.00</w:t>
            </w:r>
          </w:p>
        </w:tc>
        <w:tc>
          <w:tcPr>
            <w:tcW w:w="2984" w:type="dxa"/>
          </w:tcPr>
          <w:p w:rsidR="002B3FC0" w:rsidRPr="00E10557" w:rsidRDefault="002B3FC0" w:rsidP="00F96B57">
            <w:pPr>
              <w:spacing w:line="360" w:lineRule="auto"/>
            </w:pPr>
            <w:r w:rsidRPr="00E10557">
              <w:t>+1,000</w:t>
            </w:r>
          </w:p>
        </w:tc>
      </w:tr>
      <w:tr w:rsidR="002B3FC0" w:rsidRPr="00E10557" w:rsidTr="002B3FC0">
        <w:tc>
          <w:tcPr>
            <w:tcW w:w="2766" w:type="dxa"/>
          </w:tcPr>
          <w:p w:rsidR="002B3FC0" w:rsidRPr="00E10557" w:rsidRDefault="002B3FC0" w:rsidP="00F96B57">
            <w:pPr>
              <w:spacing w:line="360" w:lineRule="auto"/>
            </w:pPr>
            <w:r w:rsidRPr="00E10557">
              <w:t>現金流量</w:t>
            </w:r>
          </w:p>
        </w:tc>
        <w:tc>
          <w:tcPr>
            <w:tcW w:w="2772" w:type="dxa"/>
          </w:tcPr>
          <w:p w:rsidR="002B3FC0" w:rsidRPr="00E10557" w:rsidRDefault="002B3FC0" w:rsidP="00F96B57">
            <w:pPr>
              <w:spacing w:line="360" w:lineRule="auto"/>
            </w:pPr>
            <w:r w:rsidRPr="00E10557">
              <w:t>+12.38</w:t>
            </w:r>
          </w:p>
        </w:tc>
        <w:tc>
          <w:tcPr>
            <w:tcW w:w="2984" w:type="dxa"/>
          </w:tcPr>
          <w:p w:rsidR="002B3FC0" w:rsidRPr="00E10557" w:rsidRDefault="002B3FC0" w:rsidP="00F96B57">
            <w:pPr>
              <w:spacing w:line="360" w:lineRule="auto"/>
            </w:pPr>
            <w:r w:rsidRPr="00E10557">
              <w:t>0</w:t>
            </w:r>
          </w:p>
        </w:tc>
      </w:tr>
    </w:tbl>
    <w:p w:rsidR="002B3FC0" w:rsidRPr="00E10557" w:rsidRDefault="002B3FC0" w:rsidP="00DD26E7">
      <w:pPr>
        <w:spacing w:line="360" w:lineRule="auto"/>
      </w:pPr>
      <w:r w:rsidRPr="00E10557">
        <w:t>(</w:t>
      </w:r>
      <w:r w:rsidRPr="00E10557">
        <w:t>期初有現金流入，但期末沒有現金流出</w:t>
      </w:r>
      <w:r w:rsidRPr="00E10557">
        <w:t>)</w:t>
      </w:r>
    </w:p>
    <w:p w:rsidR="002B3FC0" w:rsidRPr="00E10557" w:rsidRDefault="002B3FC0" w:rsidP="00DD26E7">
      <w:pPr>
        <w:spacing w:line="360" w:lineRule="auto"/>
      </w:pPr>
    </w:p>
    <w:p w:rsidR="002B3FC0" w:rsidRPr="00E10557" w:rsidRDefault="002B3FC0" w:rsidP="002B3FC0">
      <w:pPr>
        <w:spacing w:line="360" w:lineRule="auto"/>
      </w:pPr>
      <w:r w:rsidRPr="00E10557">
        <w:t>假若債券市價為</w:t>
      </w:r>
      <w:r w:rsidRPr="00E10557">
        <w:t>960</w:t>
      </w:r>
      <w:r w:rsidRPr="00E10557">
        <w:t>美元，則：</w:t>
      </w:r>
    </w:p>
    <w:tbl>
      <w:tblPr>
        <w:tblStyle w:val="a7"/>
        <w:tblW w:w="0" w:type="auto"/>
        <w:tblLook w:val="04A0" w:firstRow="1" w:lastRow="0" w:firstColumn="1" w:lastColumn="0" w:noHBand="0" w:noVBand="1"/>
      </w:tblPr>
      <w:tblGrid>
        <w:gridCol w:w="2766"/>
        <w:gridCol w:w="2772"/>
        <w:gridCol w:w="2984"/>
      </w:tblGrid>
      <w:tr w:rsidR="002B3FC0" w:rsidRPr="00E10557" w:rsidTr="00F96B57">
        <w:tc>
          <w:tcPr>
            <w:tcW w:w="2766" w:type="dxa"/>
          </w:tcPr>
          <w:p w:rsidR="002B3FC0" w:rsidRPr="00E10557" w:rsidRDefault="002B3FC0" w:rsidP="00F96B57">
            <w:pPr>
              <w:spacing w:line="360" w:lineRule="auto"/>
            </w:pPr>
          </w:p>
        </w:tc>
        <w:tc>
          <w:tcPr>
            <w:tcW w:w="2772" w:type="dxa"/>
          </w:tcPr>
          <w:p w:rsidR="002B3FC0" w:rsidRPr="00E10557" w:rsidRDefault="002B3FC0" w:rsidP="00F96B57">
            <w:pPr>
              <w:spacing w:line="360" w:lineRule="auto"/>
            </w:pPr>
            <w:r w:rsidRPr="00E10557">
              <w:t>第</w:t>
            </w:r>
            <w:r w:rsidRPr="00E10557">
              <w:t>0</w:t>
            </w:r>
            <w:r w:rsidRPr="00E10557">
              <w:t>年</w:t>
            </w:r>
          </w:p>
        </w:tc>
        <w:tc>
          <w:tcPr>
            <w:tcW w:w="2984" w:type="dxa"/>
          </w:tcPr>
          <w:p w:rsidR="002B3FC0" w:rsidRPr="00E10557" w:rsidRDefault="002B3FC0" w:rsidP="00F96B57">
            <w:pPr>
              <w:spacing w:line="360" w:lineRule="auto"/>
            </w:pPr>
            <w:r w:rsidRPr="00E10557">
              <w:t>第</w:t>
            </w:r>
            <w:r w:rsidRPr="00E10557">
              <w:t>1</w:t>
            </w:r>
            <w:r w:rsidRPr="00E10557">
              <w:t>年</w:t>
            </w:r>
          </w:p>
        </w:tc>
      </w:tr>
      <w:tr w:rsidR="002B3FC0" w:rsidRPr="00E10557" w:rsidTr="00F96B57">
        <w:tc>
          <w:tcPr>
            <w:tcW w:w="2766" w:type="dxa"/>
          </w:tcPr>
          <w:p w:rsidR="002B3FC0" w:rsidRPr="00E10557" w:rsidRDefault="002B3FC0" w:rsidP="00F96B57">
            <w:pPr>
              <w:spacing w:line="360" w:lineRule="auto"/>
            </w:pPr>
            <w:r w:rsidRPr="00E10557">
              <w:t>銀行</w:t>
            </w:r>
            <w:r w:rsidR="00A05471" w:rsidRPr="00E10557">
              <w:t>存</w:t>
            </w:r>
            <w:r w:rsidRPr="00E10557">
              <w:t>款與</w:t>
            </w:r>
            <w:r w:rsidR="00A05471" w:rsidRPr="00E10557">
              <w:t>到期回收</w:t>
            </w:r>
          </w:p>
        </w:tc>
        <w:tc>
          <w:tcPr>
            <w:tcW w:w="2772" w:type="dxa"/>
          </w:tcPr>
          <w:p w:rsidR="002B3FC0" w:rsidRPr="00E10557" w:rsidRDefault="00A05471" w:rsidP="00F96B57">
            <w:pPr>
              <w:spacing w:line="360" w:lineRule="auto"/>
            </w:pPr>
            <w:r w:rsidRPr="00E10557">
              <w:t>-952.38</w:t>
            </w:r>
          </w:p>
        </w:tc>
        <w:tc>
          <w:tcPr>
            <w:tcW w:w="2984" w:type="dxa"/>
          </w:tcPr>
          <w:p w:rsidR="002B3FC0" w:rsidRPr="00E10557" w:rsidRDefault="00A05471" w:rsidP="00F96B57">
            <w:pPr>
              <w:spacing w:line="360" w:lineRule="auto"/>
            </w:pPr>
            <w:r w:rsidRPr="00E10557">
              <w:t>+</w:t>
            </w:r>
            <w:r w:rsidR="002B3FC0" w:rsidRPr="00E10557">
              <w:t>952.38*(1+5%)=1,000</w:t>
            </w:r>
          </w:p>
        </w:tc>
      </w:tr>
      <w:tr w:rsidR="002B3FC0" w:rsidRPr="00E10557" w:rsidTr="00F96B57">
        <w:tc>
          <w:tcPr>
            <w:tcW w:w="2766" w:type="dxa"/>
          </w:tcPr>
          <w:p w:rsidR="002B3FC0" w:rsidRPr="00E10557" w:rsidRDefault="00A05471" w:rsidP="00F96B57">
            <w:pPr>
              <w:spacing w:line="360" w:lineRule="auto"/>
            </w:pPr>
            <w:r w:rsidRPr="00E10557">
              <w:t>期初放空</w:t>
            </w:r>
            <w:r w:rsidRPr="00E10557">
              <w:t>(</w:t>
            </w:r>
            <w:r w:rsidRPr="00E10557">
              <w:t>或賣出</w:t>
            </w:r>
            <w:r w:rsidR="008D341A" w:rsidRPr="00E10557">
              <w:t>)</w:t>
            </w:r>
            <w:r w:rsidR="002B3FC0" w:rsidRPr="00E10557">
              <w:t>債券</w:t>
            </w:r>
            <w:r w:rsidRPr="00E10557">
              <w:t>與到期支付</w:t>
            </w:r>
          </w:p>
        </w:tc>
        <w:tc>
          <w:tcPr>
            <w:tcW w:w="2772" w:type="dxa"/>
          </w:tcPr>
          <w:p w:rsidR="002B3FC0" w:rsidRPr="00E10557" w:rsidRDefault="00A05471" w:rsidP="00F96B57">
            <w:pPr>
              <w:spacing w:line="360" w:lineRule="auto"/>
            </w:pPr>
            <w:r w:rsidRPr="00E10557">
              <w:t>+</w:t>
            </w:r>
            <w:r w:rsidR="002B3FC0" w:rsidRPr="00E10557">
              <w:t>9</w:t>
            </w:r>
            <w:r w:rsidRPr="00E10557">
              <w:t>6</w:t>
            </w:r>
            <w:r w:rsidR="002B3FC0" w:rsidRPr="00E10557">
              <w:t>0.00</w:t>
            </w:r>
          </w:p>
        </w:tc>
        <w:tc>
          <w:tcPr>
            <w:tcW w:w="2984" w:type="dxa"/>
          </w:tcPr>
          <w:p w:rsidR="002B3FC0" w:rsidRPr="00E10557" w:rsidRDefault="00A05471" w:rsidP="00F96B57">
            <w:pPr>
              <w:spacing w:line="360" w:lineRule="auto"/>
            </w:pPr>
            <w:r w:rsidRPr="00E10557">
              <w:t>-</w:t>
            </w:r>
            <w:r w:rsidR="002B3FC0" w:rsidRPr="00E10557">
              <w:t>1,000</w:t>
            </w:r>
          </w:p>
        </w:tc>
      </w:tr>
      <w:tr w:rsidR="002B3FC0" w:rsidRPr="00E10557" w:rsidTr="00F96B57">
        <w:tc>
          <w:tcPr>
            <w:tcW w:w="2766" w:type="dxa"/>
          </w:tcPr>
          <w:p w:rsidR="002B3FC0" w:rsidRPr="00E10557" w:rsidRDefault="002B3FC0" w:rsidP="00F96B57">
            <w:pPr>
              <w:spacing w:line="360" w:lineRule="auto"/>
            </w:pPr>
            <w:r w:rsidRPr="00E10557">
              <w:t>現金流量</w:t>
            </w:r>
          </w:p>
        </w:tc>
        <w:tc>
          <w:tcPr>
            <w:tcW w:w="2772" w:type="dxa"/>
          </w:tcPr>
          <w:p w:rsidR="002B3FC0" w:rsidRPr="00E10557" w:rsidRDefault="00A05471" w:rsidP="00F96B57">
            <w:pPr>
              <w:spacing w:line="360" w:lineRule="auto"/>
            </w:pPr>
            <w:r w:rsidRPr="00E10557">
              <w:t>+7.62</w:t>
            </w:r>
          </w:p>
        </w:tc>
        <w:tc>
          <w:tcPr>
            <w:tcW w:w="2984" w:type="dxa"/>
          </w:tcPr>
          <w:p w:rsidR="002B3FC0" w:rsidRPr="00E10557" w:rsidRDefault="002B3FC0" w:rsidP="00F96B57">
            <w:pPr>
              <w:spacing w:line="360" w:lineRule="auto"/>
            </w:pPr>
            <w:r w:rsidRPr="00E10557">
              <w:t>0</w:t>
            </w:r>
          </w:p>
        </w:tc>
      </w:tr>
    </w:tbl>
    <w:p w:rsidR="002B3FC0" w:rsidRPr="00E10557" w:rsidRDefault="002B3FC0" w:rsidP="002B3FC0">
      <w:pPr>
        <w:spacing w:line="360" w:lineRule="auto"/>
      </w:pPr>
      <w:r w:rsidRPr="00E10557">
        <w:t>(</w:t>
      </w:r>
      <w:r w:rsidRPr="00E10557">
        <w:t>期初有現金流入，但期末沒有現金流出</w:t>
      </w:r>
      <w:r w:rsidRPr="00E10557">
        <w:t>)</w:t>
      </w:r>
    </w:p>
    <w:p w:rsidR="002B3FC0" w:rsidRPr="00E10557" w:rsidRDefault="002B3FC0" w:rsidP="00DD26E7">
      <w:pPr>
        <w:spacing w:line="360" w:lineRule="auto"/>
      </w:pPr>
    </w:p>
    <w:p w:rsidR="00A05471" w:rsidRPr="00E10557" w:rsidRDefault="00A05471" w:rsidP="00A05471">
      <w:pPr>
        <w:spacing w:line="360" w:lineRule="auto"/>
        <w:rPr>
          <w:b/>
        </w:rPr>
      </w:pPr>
      <w:r w:rsidRPr="00E10557">
        <w:rPr>
          <w:rFonts w:ascii="細明體" w:eastAsia="細明體" w:hAnsi="細明體" w:cs="細明體" w:hint="eastAsia"/>
          <w:b/>
        </w:rPr>
        <w:t>◎</w:t>
      </w:r>
      <w:r w:rsidRPr="00E10557">
        <w:rPr>
          <w:b/>
        </w:rPr>
        <w:t>套利</w:t>
      </w:r>
      <w:r w:rsidR="0042676D">
        <w:rPr>
          <w:rFonts w:hint="eastAsia"/>
          <w:b/>
        </w:rPr>
        <w:t>(</w:t>
      </w:r>
      <w:r w:rsidRPr="00E10557">
        <w:rPr>
          <w:b/>
        </w:rPr>
        <w:t>機會</w:t>
      </w:r>
      <w:r w:rsidR="0042676D">
        <w:rPr>
          <w:rFonts w:hint="eastAsia"/>
          <w:b/>
        </w:rPr>
        <w:t>)</w:t>
      </w:r>
      <w:r w:rsidRPr="00E10557">
        <w:rPr>
          <w:b/>
        </w:rPr>
        <w:t>以現金流量的概念可從新定義：</w:t>
      </w:r>
      <w:r w:rsidR="00545692" w:rsidRPr="00E10557">
        <w:rPr>
          <w:b/>
        </w:rPr>
        <w:t>期初有正的現金流入，但期末沒有現金流出；</w:t>
      </w:r>
      <w:r w:rsidRPr="00E10557">
        <w:rPr>
          <w:b/>
        </w:rPr>
        <w:t>或</w:t>
      </w:r>
      <w:r w:rsidR="00545692" w:rsidRPr="00E10557">
        <w:rPr>
          <w:b/>
        </w:rPr>
        <w:t>期初沒有現金流出，但期末有正的現金流入</w:t>
      </w:r>
      <w:r w:rsidRPr="00E10557">
        <w:rPr>
          <w:b/>
        </w:rPr>
        <w:t>。</w:t>
      </w:r>
    </w:p>
    <w:p w:rsidR="00A05471" w:rsidRPr="00E10557" w:rsidRDefault="00A05471" w:rsidP="00DD26E7">
      <w:pPr>
        <w:spacing w:line="360" w:lineRule="auto"/>
      </w:pPr>
    </w:p>
    <w:p w:rsidR="00A05471" w:rsidRPr="00E10557" w:rsidRDefault="00545692" w:rsidP="00DD26E7">
      <w:pPr>
        <w:spacing w:line="360" w:lineRule="auto"/>
      </w:pPr>
      <w:r w:rsidRPr="00E10557">
        <w:t>例</w:t>
      </w:r>
      <w:r w:rsidRPr="00E10557">
        <w:t>3.6</w:t>
      </w:r>
    </w:p>
    <w:p w:rsidR="00545692" w:rsidRPr="00E10557" w:rsidRDefault="00F96B57" w:rsidP="00DD26E7">
      <w:pPr>
        <w:spacing w:line="360" w:lineRule="auto"/>
      </w:pPr>
      <w:r w:rsidRPr="00E10557">
        <w:t>假設無風險借貸利率為</w:t>
      </w:r>
      <w:r w:rsidRPr="00E10557">
        <w:t>10%</w:t>
      </w:r>
      <w:r w:rsidRPr="00E10557">
        <w:rPr>
          <w:rFonts w:eastAsia="新細明體"/>
        </w:rPr>
        <w:t>，</w:t>
      </w:r>
      <w:r w:rsidRPr="00E10557">
        <w:t>現有一個無風險資產，現在會支付投資人</w:t>
      </w:r>
      <w:r w:rsidRPr="00E10557">
        <w:t>100</w:t>
      </w:r>
      <w:r w:rsidRPr="00E10557">
        <w:t>美元，並在</w:t>
      </w:r>
      <w:proofErr w:type="gramStart"/>
      <w:r w:rsidRPr="00E10557">
        <w:t>一</w:t>
      </w:r>
      <w:proofErr w:type="gramEnd"/>
      <w:r w:rsidRPr="00E10557">
        <w:t>年後支付投資人</w:t>
      </w:r>
      <w:r w:rsidRPr="00E10557">
        <w:t>100</w:t>
      </w:r>
      <w:r w:rsidRPr="00E10557">
        <w:t>美元，若該資產</w:t>
      </w:r>
      <w:r w:rsidR="0091547F" w:rsidRPr="00E10557">
        <w:t>的</w:t>
      </w:r>
      <w:r w:rsidRPr="00E10557">
        <w:t>市價為</w:t>
      </w:r>
      <w:r w:rsidRPr="00E10557">
        <w:t>195</w:t>
      </w:r>
      <w:r w:rsidRPr="00E10557">
        <w:t>元，請問是否存在套利機會？</w:t>
      </w:r>
    </w:p>
    <w:p w:rsidR="00F96B57" w:rsidRPr="00E10557" w:rsidRDefault="00F96B57" w:rsidP="00DD26E7">
      <w:pPr>
        <w:spacing w:line="360" w:lineRule="auto"/>
      </w:pPr>
      <w:proofErr w:type="gramStart"/>
      <w:r w:rsidRPr="00E10557">
        <w:t>根據無套利</w:t>
      </w:r>
      <w:proofErr w:type="gramEnd"/>
      <w:r w:rsidRPr="00E10557">
        <w:t>機會的訂價原則，該資產在正常市場的價格應為：</w:t>
      </w:r>
    </w:p>
    <w:p w:rsidR="00F96B57" w:rsidRPr="00E10557" w:rsidRDefault="00F96B57" w:rsidP="00DD26E7">
      <w:pPr>
        <w:spacing w:line="360" w:lineRule="auto"/>
      </w:pPr>
      <w:r w:rsidRPr="00E10557">
        <w:object w:dxaOrig="2799" w:dyaOrig="660">
          <v:shape id="_x0000_i1034" type="#_x0000_t75" style="width:139.8pt;height:33pt" o:ole="">
            <v:imagedata r:id="rId25" o:title=""/>
          </v:shape>
          <o:OLEObject Type="Embed" ProgID="Unknown" ShapeID="_x0000_i1034" DrawAspect="Content" ObjectID="_1629658801" r:id="rId26"/>
        </w:object>
      </w:r>
    </w:p>
    <w:p w:rsidR="00F96B57" w:rsidRPr="00E10557" w:rsidRDefault="00F96B57" w:rsidP="00DD26E7">
      <w:pPr>
        <w:spacing w:line="360" w:lineRule="auto"/>
      </w:pPr>
      <w:r w:rsidRPr="00E10557">
        <w:t>目前的市價顯然過高，存在套利機會，因為價格過高，套利策略應是放空</w:t>
      </w:r>
      <w:r w:rsidRPr="00E10557">
        <w:t>(</w:t>
      </w:r>
      <w:r w:rsidRPr="00E10557">
        <w:t>或賣出</w:t>
      </w:r>
      <w:r w:rsidRPr="00E10557">
        <w:t>)</w:t>
      </w:r>
      <w:r w:rsidRPr="00E10557">
        <w:t>該資產：</w:t>
      </w:r>
    </w:p>
    <w:tbl>
      <w:tblPr>
        <w:tblStyle w:val="a7"/>
        <w:tblW w:w="0" w:type="auto"/>
        <w:tblLook w:val="04A0" w:firstRow="1" w:lastRow="0" w:firstColumn="1" w:lastColumn="0" w:noHBand="0" w:noVBand="1"/>
      </w:tblPr>
      <w:tblGrid>
        <w:gridCol w:w="2766"/>
        <w:gridCol w:w="2772"/>
        <w:gridCol w:w="2984"/>
      </w:tblGrid>
      <w:tr w:rsidR="00F96B57" w:rsidRPr="00E10557" w:rsidTr="00F96B57">
        <w:tc>
          <w:tcPr>
            <w:tcW w:w="2766" w:type="dxa"/>
          </w:tcPr>
          <w:p w:rsidR="00F96B57" w:rsidRPr="00E10557" w:rsidRDefault="00F96B57" w:rsidP="00F96B57">
            <w:pPr>
              <w:spacing w:line="360" w:lineRule="auto"/>
            </w:pPr>
          </w:p>
        </w:tc>
        <w:tc>
          <w:tcPr>
            <w:tcW w:w="2772" w:type="dxa"/>
          </w:tcPr>
          <w:p w:rsidR="00F96B57" w:rsidRPr="00E10557" w:rsidRDefault="00F96B57" w:rsidP="00F96B57">
            <w:pPr>
              <w:spacing w:line="360" w:lineRule="auto"/>
            </w:pPr>
            <w:r w:rsidRPr="00E10557">
              <w:t>第</w:t>
            </w:r>
            <w:r w:rsidRPr="00E10557">
              <w:t>0</w:t>
            </w:r>
            <w:r w:rsidRPr="00E10557">
              <w:t>年</w:t>
            </w:r>
          </w:p>
        </w:tc>
        <w:tc>
          <w:tcPr>
            <w:tcW w:w="2984" w:type="dxa"/>
          </w:tcPr>
          <w:p w:rsidR="00F96B57" w:rsidRPr="00E10557" w:rsidRDefault="00F96B57" w:rsidP="00F96B57">
            <w:pPr>
              <w:spacing w:line="360" w:lineRule="auto"/>
            </w:pPr>
            <w:r w:rsidRPr="00E10557">
              <w:t>第</w:t>
            </w:r>
            <w:r w:rsidRPr="00E10557">
              <w:t>1</w:t>
            </w:r>
            <w:r w:rsidRPr="00E10557">
              <w:t>年</w:t>
            </w:r>
          </w:p>
        </w:tc>
      </w:tr>
      <w:tr w:rsidR="00F96B57" w:rsidRPr="00E10557" w:rsidTr="00F96B57">
        <w:tc>
          <w:tcPr>
            <w:tcW w:w="2766" w:type="dxa"/>
          </w:tcPr>
          <w:p w:rsidR="00F96B57" w:rsidRPr="00E10557" w:rsidRDefault="00F96B57" w:rsidP="00F96B57">
            <w:pPr>
              <w:spacing w:line="360" w:lineRule="auto"/>
            </w:pPr>
            <w:r w:rsidRPr="00E10557">
              <w:t>放空</w:t>
            </w:r>
            <w:r w:rsidR="00090C71" w:rsidRPr="00E10557">
              <w:t>(</w:t>
            </w:r>
            <w:r w:rsidR="00090C71" w:rsidRPr="00E10557">
              <w:t>或賣出</w:t>
            </w:r>
            <w:r w:rsidR="00090C71" w:rsidRPr="00E10557">
              <w:t>)</w:t>
            </w:r>
            <w:r w:rsidRPr="00E10557">
              <w:t>該資產</w:t>
            </w:r>
          </w:p>
        </w:tc>
        <w:tc>
          <w:tcPr>
            <w:tcW w:w="2772" w:type="dxa"/>
          </w:tcPr>
          <w:p w:rsidR="00F96B57" w:rsidRPr="00E10557" w:rsidRDefault="00F96B57" w:rsidP="00F96B57">
            <w:pPr>
              <w:spacing w:line="360" w:lineRule="auto"/>
            </w:pPr>
            <w:r w:rsidRPr="00E10557">
              <w:t>+195</w:t>
            </w:r>
          </w:p>
        </w:tc>
        <w:tc>
          <w:tcPr>
            <w:tcW w:w="2984" w:type="dxa"/>
          </w:tcPr>
          <w:p w:rsidR="00F96B57" w:rsidRPr="00E10557" w:rsidRDefault="00F96B57" w:rsidP="00F96B57">
            <w:pPr>
              <w:spacing w:line="360" w:lineRule="auto"/>
            </w:pPr>
          </w:p>
        </w:tc>
      </w:tr>
      <w:tr w:rsidR="00F96B57" w:rsidRPr="00E10557" w:rsidTr="00F96B57">
        <w:tc>
          <w:tcPr>
            <w:tcW w:w="2766" w:type="dxa"/>
          </w:tcPr>
          <w:p w:rsidR="00F96B57" w:rsidRPr="00E10557" w:rsidRDefault="00F96B57" w:rsidP="00F96B57">
            <w:pPr>
              <w:spacing w:line="360" w:lineRule="auto"/>
            </w:pPr>
            <w:r w:rsidRPr="00E10557">
              <w:t>支付給買該資產的投資人</w:t>
            </w:r>
          </w:p>
        </w:tc>
        <w:tc>
          <w:tcPr>
            <w:tcW w:w="2772" w:type="dxa"/>
          </w:tcPr>
          <w:p w:rsidR="00F96B57" w:rsidRPr="00E10557" w:rsidRDefault="00F96B57" w:rsidP="00F96B57">
            <w:pPr>
              <w:spacing w:line="360" w:lineRule="auto"/>
            </w:pPr>
            <w:r w:rsidRPr="00E10557">
              <w:t>-100</w:t>
            </w:r>
          </w:p>
        </w:tc>
        <w:tc>
          <w:tcPr>
            <w:tcW w:w="2984" w:type="dxa"/>
          </w:tcPr>
          <w:p w:rsidR="00F96B57" w:rsidRPr="00E10557" w:rsidRDefault="00F96B57" w:rsidP="00F96B57">
            <w:pPr>
              <w:spacing w:line="360" w:lineRule="auto"/>
            </w:pPr>
            <w:r w:rsidRPr="00E10557">
              <w:t>-100</w:t>
            </w:r>
          </w:p>
        </w:tc>
      </w:tr>
      <w:tr w:rsidR="00F96B57" w:rsidRPr="00E10557" w:rsidTr="00F96B57">
        <w:tc>
          <w:tcPr>
            <w:tcW w:w="2766" w:type="dxa"/>
          </w:tcPr>
          <w:p w:rsidR="00F96B57" w:rsidRPr="00E10557" w:rsidRDefault="00F96B57" w:rsidP="00F96B57">
            <w:pPr>
              <w:spacing w:line="360" w:lineRule="auto"/>
            </w:pPr>
            <w:r w:rsidRPr="00E10557">
              <w:t>銀行存款與到期回收</w:t>
            </w:r>
          </w:p>
        </w:tc>
        <w:tc>
          <w:tcPr>
            <w:tcW w:w="2772" w:type="dxa"/>
          </w:tcPr>
          <w:p w:rsidR="00F96B57" w:rsidRPr="00E10557" w:rsidRDefault="00F96B57" w:rsidP="00F96B57">
            <w:pPr>
              <w:spacing w:line="360" w:lineRule="auto"/>
            </w:pPr>
            <w:r w:rsidRPr="00E10557">
              <w:t>-90.91</w:t>
            </w:r>
          </w:p>
        </w:tc>
        <w:tc>
          <w:tcPr>
            <w:tcW w:w="2984" w:type="dxa"/>
          </w:tcPr>
          <w:p w:rsidR="00F96B57" w:rsidRPr="00E10557" w:rsidRDefault="00F96B57" w:rsidP="00F96B57">
            <w:pPr>
              <w:spacing w:line="360" w:lineRule="auto"/>
            </w:pPr>
            <w:r w:rsidRPr="00E10557">
              <w:t>+90.91*(1+10%)=100</w:t>
            </w:r>
          </w:p>
        </w:tc>
      </w:tr>
      <w:tr w:rsidR="00F96B57" w:rsidRPr="00E10557" w:rsidTr="00F96B57">
        <w:tc>
          <w:tcPr>
            <w:tcW w:w="2766" w:type="dxa"/>
          </w:tcPr>
          <w:p w:rsidR="00F96B57" w:rsidRPr="00E10557" w:rsidRDefault="00F96B57" w:rsidP="00F96B57">
            <w:pPr>
              <w:spacing w:line="360" w:lineRule="auto"/>
            </w:pPr>
            <w:r w:rsidRPr="00E10557">
              <w:t>現金流量</w:t>
            </w:r>
          </w:p>
        </w:tc>
        <w:tc>
          <w:tcPr>
            <w:tcW w:w="2772" w:type="dxa"/>
          </w:tcPr>
          <w:p w:rsidR="00F96B57" w:rsidRPr="00E10557" w:rsidRDefault="00F96B57" w:rsidP="00F96B57">
            <w:pPr>
              <w:spacing w:line="360" w:lineRule="auto"/>
            </w:pPr>
            <w:r w:rsidRPr="00E10557">
              <w:t>+4.09</w:t>
            </w:r>
          </w:p>
        </w:tc>
        <w:tc>
          <w:tcPr>
            <w:tcW w:w="2984" w:type="dxa"/>
          </w:tcPr>
          <w:p w:rsidR="00F96B57" w:rsidRPr="00E10557" w:rsidRDefault="00F96B57" w:rsidP="00F96B57">
            <w:pPr>
              <w:spacing w:line="360" w:lineRule="auto"/>
            </w:pPr>
            <w:r w:rsidRPr="00E10557">
              <w:t>0</w:t>
            </w:r>
          </w:p>
        </w:tc>
      </w:tr>
    </w:tbl>
    <w:p w:rsidR="00EE77A1" w:rsidRPr="00E10557" w:rsidRDefault="00EE77A1" w:rsidP="00EE77A1">
      <w:pPr>
        <w:spacing w:line="360" w:lineRule="auto"/>
        <w:rPr>
          <w:b/>
          <w:color w:val="FF0000"/>
        </w:rPr>
      </w:pPr>
      <w:r w:rsidRPr="00E10557">
        <w:rPr>
          <w:b/>
          <w:color w:val="FF0000"/>
        </w:rPr>
        <w:t>(</w:t>
      </w:r>
      <w:r w:rsidRPr="00E10557">
        <w:rPr>
          <w:b/>
          <w:color w:val="FF0000"/>
        </w:rPr>
        <w:t>期初有現金流入，但期末沒有現金流出</w:t>
      </w:r>
      <w:r w:rsidRPr="00E10557">
        <w:rPr>
          <w:b/>
          <w:color w:val="FF0000"/>
        </w:rPr>
        <w:t>)</w:t>
      </w:r>
    </w:p>
    <w:p w:rsidR="00EE77A1" w:rsidRPr="00E10557" w:rsidRDefault="00EE77A1" w:rsidP="00EE77A1">
      <w:pPr>
        <w:spacing w:line="360" w:lineRule="auto"/>
      </w:pPr>
    </w:p>
    <w:p w:rsidR="00B05C3D" w:rsidRPr="00E10557" w:rsidRDefault="00B05C3D" w:rsidP="00EE77A1">
      <w:pPr>
        <w:spacing w:line="360" w:lineRule="auto"/>
      </w:pPr>
    </w:p>
    <w:p w:rsidR="00B05C3D" w:rsidRPr="00E10557" w:rsidRDefault="00B05C3D" w:rsidP="00EE77A1">
      <w:pPr>
        <w:spacing w:line="360" w:lineRule="auto"/>
      </w:pPr>
    </w:p>
    <w:p w:rsidR="00B05C3D" w:rsidRPr="00E10557" w:rsidRDefault="00B05C3D" w:rsidP="00EE77A1">
      <w:pPr>
        <w:spacing w:line="360" w:lineRule="auto"/>
      </w:pPr>
    </w:p>
    <w:p w:rsidR="00EE77A1" w:rsidRPr="00E10557" w:rsidRDefault="00EE77A1" w:rsidP="00EE77A1">
      <w:pPr>
        <w:spacing w:line="360" w:lineRule="auto"/>
      </w:pPr>
      <w:r w:rsidRPr="00E10557">
        <w:t>或者也可採用下面方法：</w:t>
      </w:r>
    </w:p>
    <w:tbl>
      <w:tblPr>
        <w:tblStyle w:val="a7"/>
        <w:tblW w:w="0" w:type="auto"/>
        <w:tblLook w:val="04A0" w:firstRow="1" w:lastRow="0" w:firstColumn="1" w:lastColumn="0" w:noHBand="0" w:noVBand="1"/>
      </w:tblPr>
      <w:tblGrid>
        <w:gridCol w:w="2766"/>
        <w:gridCol w:w="2772"/>
        <w:gridCol w:w="2984"/>
      </w:tblGrid>
      <w:tr w:rsidR="00EE77A1" w:rsidRPr="00E10557" w:rsidTr="00BB3494">
        <w:tc>
          <w:tcPr>
            <w:tcW w:w="2766" w:type="dxa"/>
          </w:tcPr>
          <w:p w:rsidR="00EE77A1" w:rsidRPr="00E10557" w:rsidRDefault="00EE77A1" w:rsidP="00BB3494">
            <w:pPr>
              <w:spacing w:line="360" w:lineRule="auto"/>
            </w:pPr>
          </w:p>
        </w:tc>
        <w:tc>
          <w:tcPr>
            <w:tcW w:w="2772" w:type="dxa"/>
          </w:tcPr>
          <w:p w:rsidR="00EE77A1" w:rsidRPr="00E10557" w:rsidRDefault="00EE77A1" w:rsidP="00BB3494">
            <w:pPr>
              <w:spacing w:line="360" w:lineRule="auto"/>
            </w:pPr>
            <w:r w:rsidRPr="00E10557">
              <w:t>第</w:t>
            </w:r>
            <w:r w:rsidRPr="00E10557">
              <w:t>0</w:t>
            </w:r>
            <w:r w:rsidRPr="00E10557">
              <w:t>年</w:t>
            </w:r>
          </w:p>
        </w:tc>
        <w:tc>
          <w:tcPr>
            <w:tcW w:w="2984" w:type="dxa"/>
          </w:tcPr>
          <w:p w:rsidR="00EE77A1" w:rsidRPr="00E10557" w:rsidRDefault="00EE77A1" w:rsidP="00BB3494">
            <w:pPr>
              <w:spacing w:line="360" w:lineRule="auto"/>
            </w:pPr>
            <w:r w:rsidRPr="00E10557">
              <w:t>第</w:t>
            </w:r>
            <w:r w:rsidRPr="00E10557">
              <w:t>1</w:t>
            </w:r>
            <w:r w:rsidRPr="00E10557">
              <w:t>年</w:t>
            </w:r>
          </w:p>
        </w:tc>
      </w:tr>
      <w:tr w:rsidR="00EE77A1" w:rsidRPr="00E10557" w:rsidTr="00BB3494">
        <w:tc>
          <w:tcPr>
            <w:tcW w:w="2766" w:type="dxa"/>
          </w:tcPr>
          <w:p w:rsidR="00EE77A1" w:rsidRPr="00E10557" w:rsidRDefault="00EE77A1" w:rsidP="00BB3494">
            <w:pPr>
              <w:spacing w:line="360" w:lineRule="auto"/>
            </w:pPr>
            <w:r w:rsidRPr="00E10557">
              <w:t>放空該資產</w:t>
            </w:r>
          </w:p>
        </w:tc>
        <w:tc>
          <w:tcPr>
            <w:tcW w:w="2772" w:type="dxa"/>
          </w:tcPr>
          <w:p w:rsidR="00EE77A1" w:rsidRPr="00E10557" w:rsidRDefault="00EE77A1" w:rsidP="00BB3494">
            <w:pPr>
              <w:spacing w:line="360" w:lineRule="auto"/>
            </w:pPr>
            <w:r w:rsidRPr="00E10557">
              <w:t>+195</w:t>
            </w:r>
          </w:p>
        </w:tc>
        <w:tc>
          <w:tcPr>
            <w:tcW w:w="2984" w:type="dxa"/>
          </w:tcPr>
          <w:p w:rsidR="00EE77A1" w:rsidRPr="00E10557" w:rsidRDefault="00EE77A1" w:rsidP="00BB3494">
            <w:pPr>
              <w:spacing w:line="360" w:lineRule="auto"/>
            </w:pPr>
          </w:p>
        </w:tc>
      </w:tr>
      <w:tr w:rsidR="00EE77A1" w:rsidRPr="00E10557" w:rsidTr="00BB3494">
        <w:tc>
          <w:tcPr>
            <w:tcW w:w="2766" w:type="dxa"/>
          </w:tcPr>
          <w:p w:rsidR="00EE77A1" w:rsidRPr="00E10557" w:rsidRDefault="00EE77A1" w:rsidP="00BB3494">
            <w:pPr>
              <w:spacing w:line="360" w:lineRule="auto"/>
            </w:pPr>
            <w:r w:rsidRPr="00E10557">
              <w:t>支付給買該資產的投資人</w:t>
            </w:r>
          </w:p>
        </w:tc>
        <w:tc>
          <w:tcPr>
            <w:tcW w:w="2772" w:type="dxa"/>
          </w:tcPr>
          <w:p w:rsidR="00EE77A1" w:rsidRPr="00E10557" w:rsidRDefault="00EE77A1" w:rsidP="00BB3494">
            <w:pPr>
              <w:spacing w:line="360" w:lineRule="auto"/>
            </w:pPr>
            <w:r w:rsidRPr="00E10557">
              <w:t>-100</w:t>
            </w:r>
          </w:p>
        </w:tc>
        <w:tc>
          <w:tcPr>
            <w:tcW w:w="2984" w:type="dxa"/>
          </w:tcPr>
          <w:p w:rsidR="00EE77A1" w:rsidRPr="00E10557" w:rsidRDefault="00EE77A1" w:rsidP="00BB3494">
            <w:pPr>
              <w:spacing w:line="360" w:lineRule="auto"/>
            </w:pPr>
            <w:r w:rsidRPr="00E10557">
              <w:t>-100</w:t>
            </w:r>
          </w:p>
        </w:tc>
      </w:tr>
      <w:tr w:rsidR="00EE77A1" w:rsidRPr="00E10557" w:rsidTr="00BB3494">
        <w:tc>
          <w:tcPr>
            <w:tcW w:w="2766" w:type="dxa"/>
          </w:tcPr>
          <w:p w:rsidR="00EE77A1" w:rsidRPr="00E10557" w:rsidRDefault="00EE77A1" w:rsidP="00BB3494">
            <w:pPr>
              <w:spacing w:line="360" w:lineRule="auto"/>
            </w:pPr>
            <w:r w:rsidRPr="00E10557">
              <w:t>銀行存款與到期回收</w:t>
            </w:r>
          </w:p>
        </w:tc>
        <w:tc>
          <w:tcPr>
            <w:tcW w:w="2772" w:type="dxa"/>
          </w:tcPr>
          <w:p w:rsidR="00EE77A1" w:rsidRPr="00E10557" w:rsidRDefault="00EE77A1" w:rsidP="00BB3494">
            <w:pPr>
              <w:spacing w:line="360" w:lineRule="auto"/>
            </w:pPr>
            <w:r w:rsidRPr="00E10557">
              <w:t>-95.</w:t>
            </w:r>
          </w:p>
        </w:tc>
        <w:tc>
          <w:tcPr>
            <w:tcW w:w="2984" w:type="dxa"/>
          </w:tcPr>
          <w:p w:rsidR="00EE77A1" w:rsidRPr="00E10557" w:rsidRDefault="00EE77A1" w:rsidP="00BB3494">
            <w:pPr>
              <w:spacing w:line="360" w:lineRule="auto"/>
            </w:pPr>
            <w:r w:rsidRPr="00E10557">
              <w:t>+95*(1+10%)=104.5</w:t>
            </w:r>
          </w:p>
        </w:tc>
      </w:tr>
      <w:tr w:rsidR="00EE77A1" w:rsidRPr="00E10557" w:rsidTr="00BB3494">
        <w:tc>
          <w:tcPr>
            <w:tcW w:w="2766" w:type="dxa"/>
          </w:tcPr>
          <w:p w:rsidR="00EE77A1" w:rsidRPr="00E10557" w:rsidRDefault="00EE77A1" w:rsidP="00BB3494">
            <w:pPr>
              <w:spacing w:line="360" w:lineRule="auto"/>
            </w:pPr>
            <w:r w:rsidRPr="00E10557">
              <w:t>現金流量</w:t>
            </w:r>
          </w:p>
        </w:tc>
        <w:tc>
          <w:tcPr>
            <w:tcW w:w="2772" w:type="dxa"/>
          </w:tcPr>
          <w:p w:rsidR="00EE77A1" w:rsidRPr="00E10557" w:rsidRDefault="00EE77A1" w:rsidP="00BB3494">
            <w:pPr>
              <w:spacing w:line="360" w:lineRule="auto"/>
            </w:pPr>
            <w:r w:rsidRPr="00E10557">
              <w:t>0</w:t>
            </w:r>
          </w:p>
        </w:tc>
        <w:tc>
          <w:tcPr>
            <w:tcW w:w="2984" w:type="dxa"/>
          </w:tcPr>
          <w:p w:rsidR="00EE77A1" w:rsidRPr="00E10557" w:rsidRDefault="00EE77A1" w:rsidP="00BB3494">
            <w:pPr>
              <w:spacing w:line="360" w:lineRule="auto"/>
            </w:pPr>
            <w:r w:rsidRPr="00E10557">
              <w:t>+4.5</w:t>
            </w:r>
          </w:p>
        </w:tc>
      </w:tr>
    </w:tbl>
    <w:p w:rsidR="00EE77A1" w:rsidRPr="00E10557" w:rsidRDefault="00EE77A1" w:rsidP="00EE77A1">
      <w:pPr>
        <w:spacing w:line="360" w:lineRule="auto"/>
        <w:rPr>
          <w:b/>
          <w:color w:val="FF0000"/>
        </w:rPr>
      </w:pPr>
      <w:r w:rsidRPr="00E10557">
        <w:rPr>
          <w:b/>
          <w:color w:val="FF0000"/>
        </w:rPr>
        <w:t>(</w:t>
      </w:r>
      <w:r w:rsidRPr="00E10557">
        <w:rPr>
          <w:b/>
          <w:color w:val="FF0000"/>
        </w:rPr>
        <w:t>期初沒有現金流出，但期末有現金流入</w:t>
      </w:r>
      <w:r w:rsidRPr="00E10557">
        <w:rPr>
          <w:b/>
          <w:color w:val="FF0000"/>
        </w:rPr>
        <w:t>)</w:t>
      </w:r>
    </w:p>
    <w:p w:rsidR="00F96B57" w:rsidRPr="00E10557" w:rsidRDefault="00F96B57" w:rsidP="00DD26E7">
      <w:pPr>
        <w:spacing w:line="360" w:lineRule="auto"/>
      </w:pPr>
    </w:p>
    <w:p w:rsidR="00666238" w:rsidRPr="00E10557" w:rsidRDefault="00666238" w:rsidP="00DD26E7">
      <w:pPr>
        <w:spacing w:line="360" w:lineRule="auto"/>
      </w:pPr>
      <w:r w:rsidRPr="00E10557">
        <w:t>從正常市場的資產價格反推無風險借貸利率</w:t>
      </w:r>
    </w:p>
    <w:p w:rsidR="00666238" w:rsidRPr="00E10557" w:rsidRDefault="00666238" w:rsidP="00DD26E7">
      <w:pPr>
        <w:spacing w:line="360" w:lineRule="auto"/>
      </w:pPr>
      <w:r w:rsidRPr="00E10557">
        <w:t>假定有一個無風險債券，正常市場下的交易價格為</w:t>
      </w:r>
      <w:r w:rsidRPr="00E10557">
        <w:t>929.80</w:t>
      </w:r>
      <w:r w:rsidRPr="00E10557">
        <w:t>美元，</w:t>
      </w:r>
      <w:proofErr w:type="gramStart"/>
      <w:r w:rsidRPr="00E10557">
        <w:t>一</w:t>
      </w:r>
      <w:proofErr w:type="gramEnd"/>
      <w:r w:rsidRPr="00E10557">
        <w:t>年後支付給投資人</w:t>
      </w:r>
      <w:r w:rsidRPr="00E10557">
        <w:t>1,000</w:t>
      </w:r>
      <w:r w:rsidRPr="00E10557">
        <w:t>美元，則無風險借貸利率可推算為：</w:t>
      </w:r>
    </w:p>
    <w:p w:rsidR="00666238" w:rsidRPr="00E10557" w:rsidRDefault="00666238" w:rsidP="00DD26E7">
      <w:pPr>
        <w:spacing w:line="360" w:lineRule="auto"/>
      </w:pPr>
      <w:r w:rsidRPr="00E10557">
        <w:object w:dxaOrig="3080" w:dyaOrig="700">
          <v:shape id="_x0000_i1035" type="#_x0000_t75" style="width:154.2pt;height:34.8pt" o:ole="">
            <v:imagedata r:id="rId27" o:title=""/>
          </v:shape>
          <o:OLEObject Type="Embed" ProgID="Unknown" ShapeID="_x0000_i1035" DrawAspect="Content" ObjectID="_1629658802" r:id="rId28"/>
        </w:object>
      </w:r>
    </w:p>
    <w:p w:rsidR="00666238" w:rsidRPr="00E10557" w:rsidRDefault="00666238" w:rsidP="00DD26E7">
      <w:pPr>
        <w:spacing w:line="360" w:lineRule="auto"/>
      </w:pPr>
      <w:r w:rsidRPr="00E10557">
        <w:t>從投資人的角度來看，也就是現在投資</w:t>
      </w:r>
      <w:r w:rsidRPr="00E10557">
        <w:t>929.80</w:t>
      </w:r>
      <w:r w:rsidRPr="00E10557">
        <w:t>美元，</w:t>
      </w:r>
      <w:proofErr w:type="gramStart"/>
      <w:r w:rsidRPr="00E10557">
        <w:t>一</w:t>
      </w:r>
      <w:proofErr w:type="gramEnd"/>
      <w:r w:rsidRPr="00E10557">
        <w:t>年後可獲得</w:t>
      </w:r>
      <w:r w:rsidRPr="00E10557">
        <w:t>1,000</w:t>
      </w:r>
      <w:r w:rsidRPr="00E10557">
        <w:t>美元的收益，所以其年報酬率為：</w:t>
      </w:r>
    </w:p>
    <w:p w:rsidR="00666238" w:rsidRPr="00E10557" w:rsidRDefault="00666238" w:rsidP="00DD26E7">
      <w:pPr>
        <w:spacing w:line="360" w:lineRule="auto"/>
      </w:pPr>
      <w:r w:rsidRPr="00E10557">
        <w:object w:dxaOrig="2360" w:dyaOrig="620">
          <v:shape id="_x0000_i1036" type="#_x0000_t75" style="width:118.2pt;height:31.2pt" o:ole="">
            <v:imagedata r:id="rId29" o:title=""/>
          </v:shape>
          <o:OLEObject Type="Embed" ProgID="Unknown" ShapeID="_x0000_i1036" DrawAspect="Content" ObjectID="_1629658803" r:id="rId30"/>
        </w:object>
      </w:r>
    </w:p>
    <w:p w:rsidR="00666238" w:rsidRPr="00E10557" w:rsidRDefault="00666238" w:rsidP="00DD26E7">
      <w:pPr>
        <w:spacing w:line="360" w:lineRule="auto"/>
      </w:pPr>
      <w:r w:rsidRPr="00E10557">
        <w:t>由上面的計算過程</w:t>
      </w:r>
      <w:r w:rsidR="00BB3494" w:rsidRPr="00E10557">
        <w:t>可以發現：在沒有套利機會的正常市場情況下，無風險借貸利率會等於該無風險資產的報酬率。</w:t>
      </w:r>
    </w:p>
    <w:p w:rsidR="00666238" w:rsidRPr="00E10557" w:rsidRDefault="00666238" w:rsidP="00DD26E7">
      <w:pPr>
        <w:spacing w:line="360" w:lineRule="auto"/>
      </w:pPr>
    </w:p>
    <w:p w:rsidR="00B05C3D" w:rsidRPr="00E10557" w:rsidRDefault="001E0C2E" w:rsidP="00DD26E7">
      <w:pPr>
        <w:spacing w:line="360" w:lineRule="auto"/>
      </w:pPr>
      <w:r w:rsidRPr="00E10557">
        <w:t>資產交易的淨現值與企業的決策</w:t>
      </w:r>
    </w:p>
    <w:p w:rsidR="001E0C2E" w:rsidRPr="00E10557" w:rsidRDefault="0091547F" w:rsidP="00DD26E7">
      <w:pPr>
        <w:spacing w:line="360" w:lineRule="auto"/>
      </w:pPr>
      <w:r w:rsidRPr="00E10557">
        <w:t>根據上面的討論，</w:t>
      </w:r>
      <w:r w:rsidR="00C92CEA" w:rsidRPr="00E10557">
        <w:t>金融</w:t>
      </w:r>
      <w:r w:rsidRPr="00E10557">
        <w:t>資產的正常市場價格為其未來現金流入的折現加總，如果我們將交易</w:t>
      </w:r>
      <w:r w:rsidR="00492DFB" w:rsidRPr="00E10557">
        <w:t>金融</w:t>
      </w:r>
      <w:r w:rsidRPr="00E10557">
        <w:t>資產視為一個</w:t>
      </w:r>
      <w:r w:rsidR="00492DFB" w:rsidRPr="00E10557">
        <w:t>企業</w:t>
      </w:r>
      <w:r w:rsidRPr="00E10557">
        <w:t>投資活動，則買方的淨現值為未來現金流入折現加總減去期初的現金流出</w:t>
      </w:r>
      <w:r w:rsidR="004360CC">
        <w:rPr>
          <w:rFonts w:hint="eastAsia"/>
        </w:rPr>
        <w:t>(</w:t>
      </w:r>
      <w:r w:rsidR="004360CC">
        <w:rPr>
          <w:rFonts w:hint="eastAsia"/>
        </w:rPr>
        <w:t>買價</w:t>
      </w:r>
      <w:r w:rsidR="004360CC">
        <w:rPr>
          <w:rFonts w:hint="eastAsia"/>
        </w:rPr>
        <w:t>)</w:t>
      </w:r>
      <w:r w:rsidRPr="00E10557">
        <w:t>；而賣方的淨現值</w:t>
      </w:r>
      <w:proofErr w:type="gramStart"/>
      <w:r w:rsidRPr="00E10557">
        <w:t>則是期初</w:t>
      </w:r>
      <w:proofErr w:type="gramEnd"/>
      <w:r w:rsidRPr="00E10557">
        <w:t>所獲得現金流入</w:t>
      </w:r>
      <w:r w:rsidR="004360CC">
        <w:rPr>
          <w:rFonts w:hint="eastAsia"/>
        </w:rPr>
        <w:t>(</w:t>
      </w:r>
      <w:r w:rsidR="004360CC">
        <w:rPr>
          <w:rFonts w:hint="eastAsia"/>
        </w:rPr>
        <w:t>賣價</w:t>
      </w:r>
      <w:r w:rsidR="004360CC">
        <w:rPr>
          <w:rFonts w:hint="eastAsia"/>
        </w:rPr>
        <w:t>)</w:t>
      </w:r>
      <w:r w:rsidRPr="00E10557">
        <w:t>減去未來所有現金流出的折現加總，亦即：</w:t>
      </w:r>
    </w:p>
    <w:p w:rsidR="0091547F" w:rsidRPr="00E10557" w:rsidRDefault="0091547F" w:rsidP="00DD26E7">
      <w:pPr>
        <w:spacing w:line="360" w:lineRule="auto"/>
      </w:pPr>
      <w:r w:rsidRPr="00E10557">
        <w:t>買方淨現值：</w:t>
      </w:r>
    </w:p>
    <w:p w:rsidR="0091547F" w:rsidRPr="00E10557" w:rsidRDefault="00C92CEA" w:rsidP="00DD26E7">
      <w:pPr>
        <w:spacing w:line="360" w:lineRule="auto"/>
      </w:pPr>
      <w:r w:rsidRPr="00E10557">
        <w:object w:dxaOrig="3860" w:dyaOrig="480">
          <v:shape id="_x0000_i1037" type="#_x0000_t75" style="width:193.2pt;height:24pt" o:ole="">
            <v:imagedata r:id="rId31" o:title=""/>
          </v:shape>
          <o:OLEObject Type="Embed" ProgID="Unknown" ShapeID="_x0000_i1037" DrawAspect="Content" ObjectID="_1629658804" r:id="rId32"/>
        </w:object>
      </w:r>
    </w:p>
    <w:p w:rsidR="0091547F" w:rsidRPr="00E10557" w:rsidRDefault="0091547F" w:rsidP="0091547F">
      <w:pPr>
        <w:spacing w:line="360" w:lineRule="auto"/>
      </w:pPr>
      <w:r w:rsidRPr="00E10557">
        <w:t>賣方淨現值：</w:t>
      </w:r>
    </w:p>
    <w:p w:rsidR="0091547F" w:rsidRPr="00E10557" w:rsidRDefault="00492DFB" w:rsidP="00DD26E7">
      <w:pPr>
        <w:spacing w:line="360" w:lineRule="auto"/>
      </w:pPr>
      <w:r w:rsidRPr="00E10557">
        <w:object w:dxaOrig="3900" w:dyaOrig="480">
          <v:shape id="_x0000_i1038" type="#_x0000_t75" style="width:195pt;height:24pt" o:ole="">
            <v:imagedata r:id="rId33" o:title=""/>
          </v:shape>
          <o:OLEObject Type="Embed" ProgID="Unknown" ShapeID="_x0000_i1038" DrawAspect="Content" ObjectID="_1629658805" r:id="rId34"/>
        </w:object>
      </w:r>
    </w:p>
    <w:p w:rsidR="0091547F" w:rsidRPr="00E10557" w:rsidRDefault="0091547F" w:rsidP="00DD26E7">
      <w:pPr>
        <w:spacing w:line="360" w:lineRule="auto"/>
      </w:pPr>
      <w:r w:rsidRPr="00E10557">
        <w:t>因此在正常市場的情況下，買賣雙方的</w:t>
      </w:r>
      <w:r w:rsidRPr="00E10557">
        <w:t>NPV</w:t>
      </w:r>
      <w:r w:rsidRPr="00E10557">
        <w:t>都等於</w:t>
      </w:r>
      <w:r w:rsidRPr="00E10557">
        <w:t>0</w:t>
      </w:r>
      <w:r w:rsidR="00492DFB" w:rsidRPr="00E10557">
        <w:rPr>
          <w:rFonts w:eastAsia="新細明體"/>
        </w:rPr>
        <w:t>；</w:t>
      </w:r>
      <w:r w:rsidR="00492DFB" w:rsidRPr="00E10557">
        <w:t>換言之，企業執行金融資產交易並不會增進其公司價值，也就是說，影響公司價值的來源並非金融資產的交易，而是在於實質的投資計畫，例如：發展新的產品線、擴展分支機構及提升生產效率等。企業對於金融資產交易的目的在於調整現金流量之時點與風險，以滿足企業的</w:t>
      </w:r>
      <w:proofErr w:type="gramStart"/>
      <w:r w:rsidR="00492DFB" w:rsidRPr="00E10557">
        <w:t>最</w:t>
      </w:r>
      <w:proofErr w:type="gramEnd"/>
      <w:r w:rsidR="00492DFB" w:rsidRPr="00E10557">
        <w:t>適需要。</w:t>
      </w:r>
    </w:p>
    <w:p w:rsidR="00492DFB" w:rsidRPr="00E10557" w:rsidRDefault="00492DFB" w:rsidP="00DD26E7">
      <w:pPr>
        <w:spacing w:line="360" w:lineRule="auto"/>
      </w:pPr>
    </w:p>
    <w:p w:rsidR="00492DFB" w:rsidRPr="00E10557" w:rsidRDefault="00492DFB" w:rsidP="00DD26E7">
      <w:pPr>
        <w:spacing w:line="360" w:lineRule="auto"/>
      </w:pPr>
      <w:r w:rsidRPr="00E10557">
        <w:rPr>
          <w:rFonts w:ascii="細明體" w:eastAsia="細明體" w:hAnsi="細明體" w:cs="細明體" w:hint="eastAsia"/>
        </w:rPr>
        <w:t>◎</w:t>
      </w:r>
      <w:r w:rsidRPr="00E10557">
        <w:t>投資決策與資金融通決策的分離原則</w:t>
      </w:r>
      <w:r w:rsidRPr="00E10557">
        <w:t>(separation principle)</w:t>
      </w:r>
      <w:r w:rsidRPr="00E10557">
        <w:t>：在</w:t>
      </w:r>
      <w:r w:rsidRPr="00E10557">
        <w:rPr>
          <w:b/>
          <w:u w:val="single"/>
        </w:rPr>
        <w:t>正常市場</w:t>
      </w:r>
      <w:r w:rsidR="00C92CEA" w:rsidRPr="00E10557">
        <w:t>的情況下，金融資產交易不</w:t>
      </w:r>
      <w:r w:rsidRPr="00E10557">
        <w:t>會影響公司的價值；因此，在做資本預算的投資決策計算</w:t>
      </w:r>
      <w:r w:rsidRPr="00E10557">
        <w:t>NPV</w:t>
      </w:r>
      <w:r w:rsidRPr="00E10557">
        <w:t>時，應該把如何由金融交易</w:t>
      </w:r>
      <w:r w:rsidR="0097716B" w:rsidRPr="00E10557">
        <w:t>融通資金的決策分離出來。</w:t>
      </w:r>
    </w:p>
    <w:p w:rsidR="0097716B" w:rsidRPr="00E10557" w:rsidRDefault="0097716B" w:rsidP="00DD26E7">
      <w:pPr>
        <w:spacing w:line="360" w:lineRule="auto"/>
      </w:pPr>
    </w:p>
    <w:p w:rsidR="0097716B" w:rsidRPr="00E10557" w:rsidRDefault="0097716B" w:rsidP="00DD26E7">
      <w:pPr>
        <w:spacing w:line="360" w:lineRule="auto"/>
      </w:pPr>
      <w:r w:rsidRPr="00E10557">
        <w:t>例</w:t>
      </w:r>
      <w:r w:rsidRPr="00E10557">
        <w:t>3.7</w:t>
      </w:r>
    </w:p>
    <w:p w:rsidR="0097716B" w:rsidRPr="00E10557" w:rsidRDefault="0097716B" w:rsidP="00DD26E7">
      <w:pPr>
        <w:spacing w:line="360" w:lineRule="auto"/>
      </w:pPr>
      <w:r w:rsidRPr="00E10557">
        <w:t>假設公司有</w:t>
      </w:r>
      <w:r w:rsidR="00FB44C3" w:rsidRPr="00E10557">
        <w:t>一</w:t>
      </w:r>
      <w:r w:rsidRPr="00E10557">
        <w:t>個無風險的實質投資計畫，期初需要付出</w:t>
      </w:r>
      <w:r w:rsidRPr="00E10557">
        <w:t>1,000</w:t>
      </w:r>
      <w:r w:rsidRPr="00E10557">
        <w:t>萬美元的成本，</w:t>
      </w:r>
      <w:proofErr w:type="gramStart"/>
      <w:r w:rsidRPr="00E10557">
        <w:t>一</w:t>
      </w:r>
      <w:proofErr w:type="gramEnd"/>
      <w:r w:rsidRPr="00E10557">
        <w:t>年後可以獲得</w:t>
      </w:r>
      <w:r w:rsidRPr="00E10557">
        <w:t>1,200</w:t>
      </w:r>
      <w:r w:rsidRPr="00E10557">
        <w:t>萬美元的收益，無風險借貸利率為</w:t>
      </w:r>
      <w:r w:rsidRPr="00E10557">
        <w:t>10%</w:t>
      </w:r>
      <w:r w:rsidRPr="00E10557">
        <w:t>，每年計息一次。資金的來源有兩種選擇，一種是完全由公司的自有資金支應，另一種方式則是半數向銀行借款，半數由</w:t>
      </w:r>
      <w:r w:rsidR="00C92CEA" w:rsidRPr="00E10557">
        <w:t>公司</w:t>
      </w:r>
      <w:r w:rsidRPr="00E10557">
        <w:t>自有資金支應。這兩種方式的淨現值可分別計算如下：</w:t>
      </w:r>
    </w:p>
    <w:p w:rsidR="0097716B" w:rsidRPr="00E10557" w:rsidRDefault="0097716B" w:rsidP="00DD26E7">
      <w:pPr>
        <w:spacing w:line="360" w:lineRule="auto"/>
      </w:pPr>
      <w:r w:rsidRPr="00E10557">
        <w:t>第一種方式：</w:t>
      </w:r>
    </w:p>
    <w:p w:rsidR="0097716B" w:rsidRPr="00E10557" w:rsidRDefault="00FB44C3" w:rsidP="00DD26E7">
      <w:pPr>
        <w:spacing w:line="360" w:lineRule="auto"/>
      </w:pPr>
      <w:r w:rsidRPr="00E10557">
        <w:object w:dxaOrig="3760" w:dyaOrig="660">
          <v:shape id="_x0000_i1039" type="#_x0000_t75" style="width:187.8pt;height:33pt" o:ole="">
            <v:imagedata r:id="rId35" o:title=""/>
          </v:shape>
          <o:OLEObject Type="Embed" ProgID="Unknown" ShapeID="_x0000_i1039" DrawAspect="Content" ObjectID="_1629658806" r:id="rId36"/>
        </w:object>
      </w:r>
    </w:p>
    <w:p w:rsidR="0097716B" w:rsidRPr="00E10557" w:rsidRDefault="0097716B" w:rsidP="0097716B">
      <w:pPr>
        <w:spacing w:line="360" w:lineRule="auto"/>
      </w:pPr>
      <w:r w:rsidRPr="00E10557">
        <w:t>第二種方式：</w:t>
      </w:r>
    </w:p>
    <w:p w:rsidR="0097716B" w:rsidRPr="00E10557" w:rsidRDefault="0097716B" w:rsidP="00DD26E7">
      <w:pPr>
        <w:spacing w:line="360" w:lineRule="auto"/>
      </w:pPr>
      <w:r w:rsidRPr="00E10557">
        <w:object w:dxaOrig="4780" w:dyaOrig="660">
          <v:shape id="_x0000_i1040" type="#_x0000_t75" style="width:238.8pt;height:33pt" o:ole="">
            <v:imagedata r:id="rId37" o:title=""/>
          </v:shape>
          <o:OLEObject Type="Embed" ProgID="Unknown" ShapeID="_x0000_i1040" DrawAspect="Content" ObjectID="_1629658807" r:id="rId38"/>
        </w:object>
      </w:r>
    </w:p>
    <w:p w:rsidR="0097716B" w:rsidRPr="00E10557" w:rsidRDefault="007C75BA" w:rsidP="00DD26E7">
      <w:pPr>
        <w:spacing w:line="360" w:lineRule="auto"/>
      </w:pPr>
      <w:r w:rsidRPr="00E10557">
        <w:t>從此例可以很清楚看出，</w:t>
      </w:r>
      <w:r w:rsidR="00FB44C3" w:rsidRPr="00E10557">
        <w:t>在</w:t>
      </w:r>
      <w:r w:rsidR="00FB44C3" w:rsidRPr="00E10557">
        <w:rPr>
          <w:b/>
          <w:u w:val="single"/>
        </w:rPr>
        <w:t>正常市場</w:t>
      </w:r>
      <w:r w:rsidR="00FB44C3" w:rsidRPr="00E10557">
        <w:t>下，</w:t>
      </w:r>
      <w:r w:rsidR="00C92CEA" w:rsidRPr="00E10557">
        <w:t>不論資金融通的方式為</w:t>
      </w:r>
      <w:r w:rsidRPr="00E10557">
        <w:t>何並不會影響</w:t>
      </w:r>
      <w:r w:rsidRPr="00E10557">
        <w:t>NPV</w:t>
      </w:r>
      <w:r w:rsidR="00FB44C3" w:rsidRPr="00E10557">
        <w:rPr>
          <w:rFonts w:eastAsia="新細明體"/>
        </w:rPr>
        <w:t>。</w:t>
      </w:r>
    </w:p>
    <w:p w:rsidR="00FB44C3" w:rsidRPr="00E10557" w:rsidRDefault="00FB44C3" w:rsidP="00DD26E7">
      <w:pPr>
        <w:spacing w:line="360" w:lineRule="auto"/>
      </w:pPr>
    </w:p>
    <w:p w:rsidR="00FB44C3" w:rsidRPr="00E10557" w:rsidRDefault="00FB44C3" w:rsidP="00DD26E7">
      <w:pPr>
        <w:spacing w:line="360" w:lineRule="auto"/>
      </w:pPr>
      <w:r w:rsidRPr="00E10557">
        <w:t>利用單一價格律評價資產組合</w:t>
      </w:r>
    </w:p>
    <w:p w:rsidR="00FB44C3" w:rsidRPr="00E10557" w:rsidRDefault="00FB44C3" w:rsidP="00DD26E7">
      <w:pPr>
        <w:spacing w:line="360" w:lineRule="auto"/>
      </w:pPr>
      <w:r w:rsidRPr="00E10557">
        <w:t>假定有一個資產組合其包含了各投資</w:t>
      </w:r>
      <w:r w:rsidRPr="00E10557">
        <w:t>A</w:t>
      </w:r>
      <w:r w:rsidRPr="00E10557">
        <w:t>資產與</w:t>
      </w:r>
      <w:r w:rsidRPr="00E10557">
        <w:t>B</w:t>
      </w:r>
      <w:r w:rsidRPr="00E10557">
        <w:t>資產各一個單位，若</w:t>
      </w:r>
      <w:r w:rsidRPr="00E10557">
        <w:t>C</w:t>
      </w:r>
      <w:r w:rsidRPr="00E10557">
        <w:t>資產未來可產生的現金流量與該資產組合完全相同，則</w:t>
      </w:r>
      <w:r w:rsidRPr="00E10557">
        <w:t>C</w:t>
      </w:r>
      <w:r w:rsidRPr="00E10557">
        <w:t>資產的投資機會與</w:t>
      </w:r>
      <w:r w:rsidRPr="00E10557">
        <w:t>A+B</w:t>
      </w:r>
      <w:r w:rsidRPr="00E10557">
        <w:t>完全均等，根據單一價格律，</w:t>
      </w:r>
      <w:r w:rsidRPr="00E10557">
        <w:t>C</w:t>
      </w:r>
      <w:r w:rsidRPr="00E10557">
        <w:t>資產的價格必等於</w:t>
      </w:r>
      <w:r w:rsidRPr="00E10557">
        <w:t>A</w:t>
      </w:r>
      <w:r w:rsidRPr="00E10557">
        <w:t>資產價格加</w:t>
      </w:r>
      <w:r w:rsidRPr="00E10557">
        <w:t>B</w:t>
      </w:r>
      <w:r w:rsidRPr="00E10557">
        <w:t>資產價格，即：</w:t>
      </w:r>
    </w:p>
    <w:p w:rsidR="00FB44C3" w:rsidRPr="00E10557" w:rsidRDefault="00FB44C3" w:rsidP="00DD26E7">
      <w:pPr>
        <w:spacing w:line="360" w:lineRule="auto"/>
      </w:pPr>
      <w:r w:rsidRPr="00E10557">
        <w:object w:dxaOrig="4459" w:dyaOrig="320">
          <v:shape id="_x0000_i1041" type="#_x0000_t75" style="width:223.2pt;height:16.2pt" o:ole="">
            <v:imagedata r:id="rId39" o:title=""/>
          </v:shape>
          <o:OLEObject Type="Embed" ProgID="Unknown" ShapeID="_x0000_i1041" DrawAspect="Content" ObjectID="_1629658808" r:id="rId40"/>
        </w:object>
      </w:r>
    </w:p>
    <w:p w:rsidR="00FB44C3" w:rsidRPr="00E10557" w:rsidRDefault="00FB44C3" w:rsidP="00DD26E7">
      <w:pPr>
        <w:spacing w:line="360" w:lineRule="auto"/>
      </w:pPr>
      <w:r w:rsidRPr="00E10557">
        <w:t>該特性稱為價值相加性</w:t>
      </w:r>
      <w:r w:rsidRPr="00E10557">
        <w:t>(value additivity)</w:t>
      </w:r>
      <w:r w:rsidR="00983390" w:rsidRPr="00E10557">
        <w:rPr>
          <w:rFonts w:eastAsia="新細明體"/>
        </w:rPr>
        <w:t>，</w:t>
      </w:r>
      <w:r w:rsidR="00983390" w:rsidRPr="00E10557">
        <w:t>若市場上出現不等的情況，則會存在套利機會與交易，並恢復到上述等式的情況。</w:t>
      </w:r>
    </w:p>
    <w:p w:rsidR="00983390" w:rsidRPr="00E10557" w:rsidRDefault="00983390" w:rsidP="00DD26E7">
      <w:pPr>
        <w:spacing w:line="360" w:lineRule="auto"/>
      </w:pPr>
    </w:p>
    <w:p w:rsidR="00983390" w:rsidRPr="00E10557" w:rsidRDefault="00983390" w:rsidP="00DD26E7">
      <w:pPr>
        <w:spacing w:line="360" w:lineRule="auto"/>
      </w:pPr>
      <w:r w:rsidRPr="00E10557">
        <w:t>例</w:t>
      </w:r>
      <w:r w:rsidRPr="00E10557">
        <w:t>3.8</w:t>
      </w:r>
      <w:r w:rsidR="00BB3494" w:rsidRPr="00E10557">
        <w:t>(</w:t>
      </w:r>
      <w:r w:rsidRPr="00E10557">
        <w:t>從資產組合評價組合中某資產的價值</w:t>
      </w:r>
      <w:r w:rsidR="00BB3494" w:rsidRPr="00E10557">
        <w:t>)</w:t>
      </w:r>
    </w:p>
    <w:p w:rsidR="00983390" w:rsidRPr="00E10557" w:rsidRDefault="00983390" w:rsidP="00DD26E7">
      <w:pPr>
        <w:spacing w:line="360" w:lineRule="auto"/>
      </w:pPr>
      <w:r w:rsidRPr="00E10557">
        <w:t>A</w:t>
      </w:r>
      <w:r w:rsidRPr="00E10557">
        <w:t>控股公司擁有</w:t>
      </w:r>
      <w:r w:rsidRPr="00E10557">
        <w:t>B</w:t>
      </w:r>
      <w:r w:rsidRPr="00E10557">
        <w:t>公司</w:t>
      </w:r>
      <w:r w:rsidRPr="00E10557">
        <w:t>60%</w:t>
      </w:r>
      <w:r w:rsidRPr="00E10557">
        <w:t>的股權及</w:t>
      </w:r>
      <w:r w:rsidRPr="00E10557">
        <w:t>C</w:t>
      </w:r>
      <w:r w:rsidRPr="00E10557">
        <w:t>公司</w:t>
      </w:r>
      <w:r w:rsidRPr="00E10557">
        <w:t>100%</w:t>
      </w:r>
      <w:r w:rsidRPr="00E10557">
        <w:t>的股權，在正常市場下，若</w:t>
      </w:r>
      <w:r w:rsidRPr="00E10557">
        <w:t>A</w:t>
      </w:r>
      <w:r w:rsidRPr="00E10557">
        <w:t>公司市場價值為</w:t>
      </w:r>
      <w:r w:rsidRPr="00E10557">
        <w:t>1.6</w:t>
      </w:r>
      <w:r w:rsidRPr="00E10557">
        <w:t>億美元，而對</w:t>
      </w:r>
      <w:r w:rsidRPr="00E10557">
        <w:t>B</w:t>
      </w:r>
      <w:r w:rsidRPr="00E10557">
        <w:t>公司的市場價值為</w:t>
      </w:r>
      <w:r w:rsidRPr="00E10557">
        <w:t>1.2</w:t>
      </w:r>
      <w:r w:rsidRPr="00E10557">
        <w:t>億美元，則</w:t>
      </w:r>
      <w:r w:rsidRPr="00E10557">
        <w:t>C</w:t>
      </w:r>
      <w:r w:rsidRPr="00E10557">
        <w:t>公司的市場價值應是多少？</w:t>
      </w:r>
    </w:p>
    <w:p w:rsidR="00983390" w:rsidRPr="00E10557" w:rsidRDefault="00983390" w:rsidP="00DD26E7">
      <w:pPr>
        <w:spacing w:line="360" w:lineRule="auto"/>
      </w:pPr>
      <w:r w:rsidRPr="00E10557">
        <w:t>1.6-1.2*0.6=0.88</w:t>
      </w:r>
      <w:r w:rsidRPr="00E10557">
        <w:t>億美元</w:t>
      </w:r>
    </w:p>
    <w:p w:rsidR="00983390" w:rsidRPr="00E10557" w:rsidRDefault="00983390" w:rsidP="00DD26E7">
      <w:pPr>
        <w:spacing w:line="360" w:lineRule="auto"/>
      </w:pPr>
    </w:p>
    <w:p w:rsidR="00983390" w:rsidRPr="00E10557" w:rsidRDefault="00BF6C08" w:rsidP="00DD26E7">
      <w:pPr>
        <w:spacing w:line="360" w:lineRule="auto"/>
      </w:pPr>
      <w:r w:rsidRPr="00E10557">
        <w:t>價值相加性與公司價值</w:t>
      </w:r>
    </w:p>
    <w:p w:rsidR="00BB3494" w:rsidRPr="00E10557" w:rsidRDefault="00BB3494" w:rsidP="00DD26E7">
      <w:pPr>
        <w:spacing w:line="360" w:lineRule="auto"/>
      </w:pPr>
      <w:r w:rsidRPr="00E10557">
        <w:t>公司的淨現金流入等於其所有投資計畫淨現金流入，因此公司的價值將等於所有投資計畫淨現金流入的折現加總；換言之，淨現值決策準則與公司價值極大化的目標完全一致。為了使公司價值極大化，經理人做決策時應以</w:t>
      </w:r>
      <w:proofErr w:type="gramStart"/>
      <w:r w:rsidRPr="00E10557">
        <w:t>極大化淨現</w:t>
      </w:r>
      <w:proofErr w:type="gramEnd"/>
      <w:r w:rsidRPr="00E10557">
        <w:t>值為準則，每一項投資計畫所產生的淨現值構成對公司整體價值所貢獻的一部分。</w:t>
      </w:r>
    </w:p>
    <w:p w:rsidR="00BB3494" w:rsidRPr="00E10557" w:rsidRDefault="00BB3494">
      <w:pPr>
        <w:widowControl/>
      </w:pPr>
      <w:r w:rsidRPr="00E10557">
        <w:br w:type="page"/>
      </w:r>
    </w:p>
    <w:p w:rsidR="00C029AE" w:rsidRPr="00E10557" w:rsidRDefault="00C029AE" w:rsidP="00C029AE">
      <w:pPr>
        <w:spacing w:line="360" w:lineRule="auto"/>
      </w:pPr>
      <w:r w:rsidRPr="00E10557">
        <w:t>A</w:t>
      </w:r>
      <w:r w:rsidRPr="00E10557">
        <w:t>附錄</w:t>
      </w:r>
      <w:r w:rsidRPr="00E10557">
        <w:t xml:space="preserve"> </w:t>
      </w:r>
      <w:r w:rsidRPr="00E10557">
        <w:t>風險的價格</w:t>
      </w:r>
      <w:r w:rsidRPr="00E10557">
        <w:t>(</w:t>
      </w:r>
      <w:proofErr w:type="gramStart"/>
      <w:r w:rsidRPr="00E10557">
        <w:t>風險溢酬</w:t>
      </w:r>
      <w:proofErr w:type="gramEnd"/>
      <w:r w:rsidRPr="00E10557">
        <w:t>)</w:t>
      </w:r>
    </w:p>
    <w:p w:rsidR="00BF6C08" w:rsidRPr="00E10557" w:rsidRDefault="00C029AE" w:rsidP="00044C7E">
      <w:pPr>
        <w:spacing w:line="360" w:lineRule="auto"/>
        <w:jc w:val="both"/>
      </w:pPr>
      <w:r w:rsidRPr="00E10557">
        <w:t>本章主要討論無風險的情境，亦即所有現金流量都是確定的，不可能有兩種以上的可能性，在</w:t>
      </w:r>
      <w:r w:rsidR="00C92CEA" w:rsidRPr="00E10557">
        <w:t>本章</w:t>
      </w:r>
      <w:r w:rsidRPr="00E10557">
        <w:t>附錄中將分析</w:t>
      </w:r>
      <w:r w:rsidR="00044C7E" w:rsidRPr="00E10557">
        <w:t>：</w:t>
      </w:r>
      <w:r w:rsidRPr="00E10557">
        <w:t>若現金流量具有</w:t>
      </w:r>
      <w:proofErr w:type="gramStart"/>
      <w:r w:rsidRPr="00E10557">
        <w:t>不確定性時該</w:t>
      </w:r>
      <w:proofErr w:type="gramEnd"/>
      <w:r w:rsidRPr="00E10557">
        <w:t>如何決定</w:t>
      </w:r>
      <w:r w:rsidR="00044C7E" w:rsidRPr="00E10557">
        <w:t>該不確定性</w:t>
      </w:r>
      <w:r w:rsidRPr="00E10557">
        <w:t>風險的價格與</w:t>
      </w:r>
      <w:r w:rsidR="00044C7E" w:rsidRPr="00E10557">
        <w:t>如何對風險</w:t>
      </w:r>
      <w:r w:rsidRPr="00E10557">
        <w:t>資產訂價。</w:t>
      </w:r>
      <w:r w:rsidR="00044C7E" w:rsidRPr="00E10557">
        <w:t>更進一步</w:t>
      </w:r>
      <w:r w:rsidR="00C92CEA" w:rsidRPr="00E10557">
        <w:t>較複雜</w:t>
      </w:r>
      <w:r w:rsidR="00044C7E" w:rsidRPr="00E10557">
        <w:t>的分析將在本書的第</w:t>
      </w:r>
      <w:r w:rsidR="00044C7E" w:rsidRPr="00E10557">
        <w:t>4</w:t>
      </w:r>
      <w:r w:rsidR="00044C7E" w:rsidRPr="00E10557">
        <w:t>部分</w:t>
      </w:r>
      <w:r w:rsidR="00044C7E" w:rsidRPr="00E10557">
        <w:t>(</w:t>
      </w:r>
      <w:r w:rsidR="00044C7E" w:rsidRPr="00E10557">
        <w:t>第</w:t>
      </w:r>
      <w:r w:rsidR="00044C7E" w:rsidRPr="00E10557">
        <w:t>10-13</w:t>
      </w:r>
      <w:r w:rsidR="00044C7E" w:rsidRPr="00E10557">
        <w:t>章</w:t>
      </w:r>
      <w:r w:rsidR="00044C7E" w:rsidRPr="00E10557">
        <w:t>)</w:t>
      </w:r>
      <w:r w:rsidR="00044C7E" w:rsidRPr="00E10557">
        <w:t>討論。</w:t>
      </w:r>
    </w:p>
    <w:p w:rsidR="00C029AE" w:rsidRPr="00E10557" w:rsidRDefault="00C029AE" w:rsidP="00DD26E7">
      <w:pPr>
        <w:spacing w:line="360" w:lineRule="auto"/>
      </w:pPr>
    </w:p>
    <w:p w:rsidR="00C029AE" w:rsidRPr="00E10557" w:rsidRDefault="00C029AE" w:rsidP="00DD26E7">
      <w:pPr>
        <w:spacing w:line="360" w:lineRule="auto"/>
      </w:pPr>
      <w:r w:rsidRPr="00E10557">
        <w:t>A.1</w:t>
      </w:r>
      <w:r w:rsidRPr="00E10557">
        <w:t>有風險及無風險的現金流量</w:t>
      </w:r>
    </w:p>
    <w:p w:rsidR="00044C7E" w:rsidRPr="00E10557" w:rsidRDefault="008409E5" w:rsidP="00DD26E7">
      <w:pPr>
        <w:spacing w:line="360" w:lineRule="auto"/>
      </w:pPr>
      <w:r w:rsidRPr="00E10557">
        <w:t>假定無風險借貸利率為</w:t>
      </w:r>
      <w:r w:rsidRPr="00E10557">
        <w:t>4%</w:t>
      </w:r>
      <w:r w:rsidRPr="00E10557">
        <w:rPr>
          <w:rFonts w:eastAsia="新細明體"/>
        </w:rPr>
        <w:t>，</w:t>
      </w:r>
      <w:r w:rsidRPr="00E10557">
        <w:t>分別投資一張無風險債券及投資</w:t>
      </w:r>
      <w:r w:rsidRPr="00E10557">
        <w:t>1000</w:t>
      </w:r>
      <w:r w:rsidRPr="00E10557">
        <w:t>美元在股票市場指數商品</w:t>
      </w:r>
      <w:r w:rsidRPr="00E10557">
        <w:t>(</w:t>
      </w:r>
      <w:r w:rsidRPr="00E10557">
        <w:t>如股票</w:t>
      </w:r>
      <w:r w:rsidRPr="00E10557">
        <w:t>ETF)</w:t>
      </w:r>
      <w:r w:rsidRPr="00E10557">
        <w:rPr>
          <w:rFonts w:eastAsia="新細明體"/>
        </w:rPr>
        <w:t>，</w:t>
      </w:r>
      <w:r w:rsidRPr="00E10557">
        <w:t>無風險債券保證在</w:t>
      </w:r>
      <w:proofErr w:type="gramStart"/>
      <w:r w:rsidRPr="00E10557">
        <w:t>一</w:t>
      </w:r>
      <w:proofErr w:type="gramEnd"/>
      <w:r w:rsidRPr="00E10557">
        <w:t>年後可以獲得</w:t>
      </w:r>
      <w:r w:rsidRPr="00E10557">
        <w:t>1,100</w:t>
      </w:r>
      <w:r w:rsidRPr="00E10557">
        <w:t>美元的收益，而股票市場指數商品在</w:t>
      </w:r>
      <w:proofErr w:type="gramStart"/>
      <w:r w:rsidRPr="00E10557">
        <w:t>一</w:t>
      </w:r>
      <w:proofErr w:type="gramEnd"/>
      <w:r w:rsidRPr="00E10557">
        <w:t>年後，</w:t>
      </w:r>
      <w:r w:rsidRPr="00E10557">
        <w:t>50%</w:t>
      </w:r>
      <w:r w:rsidRPr="00E10557">
        <w:t>的機率經濟情況佳可獲得</w:t>
      </w:r>
      <w:r w:rsidRPr="00E10557">
        <w:t>1,400</w:t>
      </w:r>
      <w:r w:rsidRPr="00E10557">
        <w:t>美元的收益，</w:t>
      </w:r>
      <w:r w:rsidRPr="00E10557">
        <w:t>50%</w:t>
      </w:r>
      <w:r w:rsidRPr="00E10557">
        <w:t>的機率經濟情況差則只會回收</w:t>
      </w:r>
      <w:r w:rsidRPr="00E10557">
        <w:t>800</w:t>
      </w:r>
      <w:r w:rsidRPr="00E10557">
        <w:t>美元的收益。則根據前述的無風險資產訂價，債券的價格為：</w:t>
      </w:r>
    </w:p>
    <w:p w:rsidR="008409E5" w:rsidRPr="00E10557" w:rsidRDefault="008409E5" w:rsidP="00DD26E7">
      <w:pPr>
        <w:spacing w:line="360" w:lineRule="auto"/>
      </w:pPr>
      <w:r w:rsidRPr="00E10557">
        <w:object w:dxaOrig="3700" w:dyaOrig="660">
          <v:shape id="_x0000_i1042" type="#_x0000_t75" style="width:184.8pt;height:33pt" o:ole="">
            <v:imagedata r:id="rId41" o:title=""/>
          </v:shape>
          <o:OLEObject Type="Embed" ProgID="Unknown" ShapeID="_x0000_i1042" DrawAspect="Content" ObjectID="_1629658809" r:id="rId42"/>
        </w:object>
      </w:r>
    </w:p>
    <w:p w:rsidR="008409E5" w:rsidRPr="00E10557" w:rsidRDefault="008409E5" w:rsidP="00DD26E7">
      <w:pPr>
        <w:spacing w:line="360" w:lineRule="auto"/>
      </w:pPr>
      <w:r w:rsidRPr="00E10557">
        <w:t>另由於股票市場指數商品的未來現金流量具有不確定性，我們可計算其平均收益為：</w:t>
      </w:r>
    </w:p>
    <w:p w:rsidR="008409E5" w:rsidRPr="00E10557" w:rsidRDefault="008409E5" w:rsidP="00DD26E7">
      <w:pPr>
        <w:spacing w:line="360" w:lineRule="auto"/>
      </w:pPr>
      <w:r w:rsidRPr="00E10557">
        <w:object w:dxaOrig="3580" w:dyaOrig="320">
          <v:shape id="_x0000_i1043" type="#_x0000_t75" style="width:178.8pt;height:16.2pt" o:ole="">
            <v:imagedata r:id="rId43" o:title=""/>
          </v:shape>
          <o:OLEObject Type="Embed" ProgID="Unknown" ShapeID="_x0000_i1043" DrawAspect="Content" ObjectID="_1629658810" r:id="rId44"/>
        </w:object>
      </w:r>
    </w:p>
    <w:p w:rsidR="008409E5" w:rsidRPr="00E10557" w:rsidRDefault="005F4273" w:rsidP="00DD26E7">
      <w:pPr>
        <w:spacing w:line="360" w:lineRule="auto"/>
      </w:pPr>
      <w:r w:rsidRPr="00E10557">
        <w:t>雖然平均收益與無風險債券</w:t>
      </w:r>
      <w:r w:rsidR="000533EF" w:rsidRPr="00E10557">
        <w:t>的收益</w:t>
      </w:r>
      <w:r w:rsidRPr="00E10557">
        <w:t>同為</w:t>
      </w:r>
      <w:r w:rsidRPr="00E10557">
        <w:t>1,100</w:t>
      </w:r>
      <w:r w:rsidRPr="00E10557">
        <w:t>美元，但該指數商品目前價格並不會與無風險債券同價，該商品</w:t>
      </w:r>
      <w:r w:rsidR="000533EF" w:rsidRPr="00E10557">
        <w:t>雖</w:t>
      </w:r>
      <w:r w:rsidRPr="00E10557">
        <w:t>讓投資人有機會比債券收益多增加</w:t>
      </w:r>
      <w:r w:rsidRPr="00E10557">
        <w:t>300</w:t>
      </w:r>
      <w:r w:rsidRPr="00E10557">
        <w:t>美元或減少</w:t>
      </w:r>
      <w:r w:rsidRPr="00E10557">
        <w:t>300</w:t>
      </w:r>
      <w:r w:rsidR="00A755E3" w:rsidRPr="00E10557">
        <w:t>美元，本書</w:t>
      </w:r>
      <w:r w:rsidR="000533EF" w:rsidRPr="00E10557">
        <w:t>(</w:t>
      </w:r>
      <w:r w:rsidR="000533EF" w:rsidRPr="00E10557">
        <w:t>或其他多數的文獻</w:t>
      </w:r>
      <w:r w:rsidR="000533EF" w:rsidRPr="00E10557">
        <w:t>)</w:t>
      </w:r>
      <w:r w:rsidR="00A755E3" w:rsidRPr="00E10557">
        <w:t>假設投資人屬於風險規避</w:t>
      </w:r>
      <w:r w:rsidR="00A755E3" w:rsidRPr="00E10557">
        <w:t>(risk aversion)</w:t>
      </w:r>
      <w:r w:rsidRPr="00E10557">
        <w:t>，亦即等額的</w:t>
      </w:r>
      <w:r w:rsidRPr="00E10557">
        <w:t>300</w:t>
      </w:r>
      <w:r w:rsidRPr="00E10557">
        <w:t>美元損益，如果減少</w:t>
      </w:r>
      <w:r w:rsidRPr="00E10557">
        <w:t>300</w:t>
      </w:r>
      <w:r w:rsidRPr="00E10557">
        <w:t>美元收益所帶來的痛苦要比增加</w:t>
      </w:r>
      <w:r w:rsidRPr="00E10557">
        <w:t>300</w:t>
      </w:r>
      <w:r w:rsidR="001C0BF4">
        <w:t>美元收益所帶來的快樂大，則風險規避者</w:t>
      </w:r>
      <w:r w:rsidR="00A755E3" w:rsidRPr="00E10557">
        <w:t>對</w:t>
      </w:r>
      <w:r w:rsidRPr="00E10557">
        <w:t>所承擔的</w:t>
      </w:r>
      <w:proofErr w:type="gramStart"/>
      <w:r w:rsidRPr="00E10557">
        <w:t>不</w:t>
      </w:r>
      <w:proofErr w:type="gramEnd"/>
      <w:r w:rsidRPr="00E10557">
        <w:t>確性</w:t>
      </w:r>
      <w:r w:rsidR="001C0BF4">
        <w:rPr>
          <w:rFonts w:hint="eastAsia"/>
        </w:rPr>
        <w:t>(</w:t>
      </w:r>
      <w:r w:rsidR="001C0BF4">
        <w:rPr>
          <w:rFonts w:hint="eastAsia"/>
        </w:rPr>
        <w:t>風險</w:t>
      </w:r>
      <w:r w:rsidR="001C0BF4">
        <w:rPr>
          <w:rFonts w:hint="eastAsia"/>
        </w:rPr>
        <w:t>)</w:t>
      </w:r>
      <w:r w:rsidR="000533EF" w:rsidRPr="00E10557">
        <w:t>將會</w:t>
      </w:r>
      <w:r w:rsidRPr="00E10557">
        <w:t>要求更高於無風險資產報酬率，高出無風險資產報酬率的報酬率部分稱為</w:t>
      </w:r>
      <w:proofErr w:type="gramStart"/>
      <w:r w:rsidRPr="00E10557">
        <w:t>風險溢酬</w:t>
      </w:r>
      <w:proofErr w:type="gramEnd"/>
      <w:r w:rsidRPr="00E10557">
        <w:t>(risk premium)</w:t>
      </w:r>
      <w:r w:rsidR="00DE0DA1" w:rsidRPr="00E10557">
        <w:t>；</w:t>
      </w:r>
      <w:r w:rsidRPr="00E10557">
        <w:t>換言之</w:t>
      </w:r>
      <w:r w:rsidR="00DE0DA1" w:rsidRPr="00E10557">
        <w:t>，對於風險性資產所要求的</w:t>
      </w:r>
      <w:r w:rsidR="00A755E3" w:rsidRPr="00E10557">
        <w:t>(</w:t>
      </w:r>
      <w:r w:rsidR="00A755E3" w:rsidRPr="00E10557">
        <w:t>預期</w:t>
      </w:r>
      <w:r w:rsidR="00A755E3" w:rsidRPr="00E10557">
        <w:t>)</w:t>
      </w:r>
      <w:r w:rsidR="00DE0DA1" w:rsidRPr="00E10557">
        <w:t>報酬率將等於：無風險利率</w:t>
      </w:r>
      <w:r w:rsidR="00DE0DA1" w:rsidRPr="00E10557">
        <w:t>+</w:t>
      </w:r>
      <w:proofErr w:type="gramStart"/>
      <w:r w:rsidR="00DE0DA1" w:rsidRPr="00E10557">
        <w:t>風險溢酬</w:t>
      </w:r>
      <w:proofErr w:type="gramEnd"/>
      <w:r w:rsidR="00DE0DA1" w:rsidRPr="00E10557">
        <w:t>。</w:t>
      </w:r>
    </w:p>
    <w:p w:rsidR="00DE0DA1" w:rsidRPr="00E10557" w:rsidRDefault="00DE0DA1" w:rsidP="00DD26E7">
      <w:pPr>
        <w:spacing w:line="360" w:lineRule="auto"/>
      </w:pPr>
      <w:r w:rsidRPr="00E10557">
        <w:t>上例中資產組合個別資產的現金流量整理</w:t>
      </w:r>
      <w:r w:rsidR="000533EF" w:rsidRPr="00E10557">
        <w:t>如下</w:t>
      </w:r>
      <w:r w:rsidRPr="00E10557">
        <w:t>：</w:t>
      </w:r>
    </w:p>
    <w:p w:rsidR="00DE0DA1" w:rsidRPr="00E10557" w:rsidRDefault="00DE0DA1" w:rsidP="00DD26E7">
      <w:pPr>
        <w:spacing w:line="360" w:lineRule="auto"/>
      </w:pPr>
    </w:p>
    <w:tbl>
      <w:tblPr>
        <w:tblStyle w:val="a7"/>
        <w:tblW w:w="0" w:type="auto"/>
        <w:tblLook w:val="04A0" w:firstRow="1" w:lastRow="0" w:firstColumn="1" w:lastColumn="0" w:noHBand="0" w:noVBand="1"/>
      </w:tblPr>
      <w:tblGrid>
        <w:gridCol w:w="2090"/>
        <w:gridCol w:w="2090"/>
        <w:gridCol w:w="2091"/>
        <w:gridCol w:w="2091"/>
      </w:tblGrid>
      <w:tr w:rsidR="00DE0DA1" w:rsidRPr="00E10557" w:rsidTr="00767D27">
        <w:tc>
          <w:tcPr>
            <w:tcW w:w="2090" w:type="dxa"/>
          </w:tcPr>
          <w:p w:rsidR="00DE0DA1" w:rsidRPr="00E10557" w:rsidRDefault="00DE0DA1" w:rsidP="00DD26E7">
            <w:pPr>
              <w:spacing w:line="360" w:lineRule="auto"/>
            </w:pPr>
          </w:p>
        </w:tc>
        <w:tc>
          <w:tcPr>
            <w:tcW w:w="2090" w:type="dxa"/>
          </w:tcPr>
          <w:p w:rsidR="00DE0DA1" w:rsidRPr="00E10557" w:rsidRDefault="00DE0DA1" w:rsidP="00DD26E7">
            <w:pPr>
              <w:spacing w:line="360" w:lineRule="auto"/>
            </w:pPr>
          </w:p>
        </w:tc>
        <w:tc>
          <w:tcPr>
            <w:tcW w:w="4182" w:type="dxa"/>
            <w:gridSpan w:val="2"/>
          </w:tcPr>
          <w:p w:rsidR="00DE0DA1" w:rsidRPr="00E10557" w:rsidRDefault="00DE0DA1" w:rsidP="00DD26E7">
            <w:pPr>
              <w:spacing w:line="360" w:lineRule="auto"/>
            </w:pPr>
            <w:r w:rsidRPr="00E10557">
              <w:t>第</w:t>
            </w:r>
            <w:r w:rsidRPr="00E10557">
              <w:t>1</w:t>
            </w:r>
            <w:r w:rsidRPr="00E10557">
              <w:t>年現金流量</w:t>
            </w:r>
          </w:p>
        </w:tc>
      </w:tr>
      <w:tr w:rsidR="00DE0DA1" w:rsidRPr="00E10557" w:rsidTr="00DE0DA1">
        <w:tc>
          <w:tcPr>
            <w:tcW w:w="2090" w:type="dxa"/>
          </w:tcPr>
          <w:p w:rsidR="00DE0DA1" w:rsidRPr="00E10557" w:rsidRDefault="00DE0DA1" w:rsidP="00DD26E7">
            <w:pPr>
              <w:spacing w:line="360" w:lineRule="auto"/>
            </w:pPr>
            <w:r w:rsidRPr="00E10557">
              <w:t>資產類別</w:t>
            </w:r>
          </w:p>
        </w:tc>
        <w:tc>
          <w:tcPr>
            <w:tcW w:w="2090" w:type="dxa"/>
          </w:tcPr>
          <w:p w:rsidR="00DE0DA1" w:rsidRPr="00E10557" w:rsidRDefault="00DE0DA1" w:rsidP="00DD26E7">
            <w:pPr>
              <w:spacing w:line="360" w:lineRule="auto"/>
            </w:pPr>
            <w:r w:rsidRPr="00E10557">
              <w:t>目前市價</w:t>
            </w:r>
            <w:r w:rsidR="00767D27" w:rsidRPr="00E10557">
              <w:t>(</w:t>
            </w:r>
            <w:r w:rsidR="00767D27" w:rsidRPr="00E10557">
              <w:t>買進</w:t>
            </w:r>
            <w:r w:rsidR="00767D27" w:rsidRPr="00E10557">
              <w:t>)</w:t>
            </w:r>
          </w:p>
        </w:tc>
        <w:tc>
          <w:tcPr>
            <w:tcW w:w="2091" w:type="dxa"/>
          </w:tcPr>
          <w:p w:rsidR="00DE0DA1" w:rsidRPr="00E10557" w:rsidRDefault="00DE0DA1" w:rsidP="00DD26E7">
            <w:pPr>
              <w:spacing w:line="360" w:lineRule="auto"/>
            </w:pPr>
            <w:r w:rsidRPr="00E10557">
              <w:t>經濟情況佳</w:t>
            </w:r>
          </w:p>
        </w:tc>
        <w:tc>
          <w:tcPr>
            <w:tcW w:w="2091" w:type="dxa"/>
          </w:tcPr>
          <w:p w:rsidR="00DE0DA1" w:rsidRPr="00E10557" w:rsidRDefault="00DE0DA1" w:rsidP="00DD26E7">
            <w:pPr>
              <w:spacing w:line="360" w:lineRule="auto"/>
            </w:pPr>
            <w:r w:rsidRPr="00E10557">
              <w:t>經濟情況差</w:t>
            </w:r>
          </w:p>
        </w:tc>
      </w:tr>
      <w:tr w:rsidR="00DE0DA1" w:rsidRPr="00E10557" w:rsidTr="00DE0DA1">
        <w:tc>
          <w:tcPr>
            <w:tcW w:w="2090" w:type="dxa"/>
          </w:tcPr>
          <w:p w:rsidR="00DE0DA1" w:rsidRPr="00E10557" w:rsidRDefault="00DE0DA1" w:rsidP="00DD26E7">
            <w:pPr>
              <w:spacing w:line="360" w:lineRule="auto"/>
            </w:pPr>
            <w:r w:rsidRPr="00E10557">
              <w:t>無風險債券</w:t>
            </w:r>
          </w:p>
        </w:tc>
        <w:tc>
          <w:tcPr>
            <w:tcW w:w="2090" w:type="dxa"/>
          </w:tcPr>
          <w:p w:rsidR="00DE0DA1" w:rsidRPr="00E10557" w:rsidRDefault="00DE0DA1" w:rsidP="00DD26E7">
            <w:pPr>
              <w:spacing w:line="360" w:lineRule="auto"/>
            </w:pPr>
            <w:r w:rsidRPr="00E10557">
              <w:t>-1,058</w:t>
            </w:r>
          </w:p>
        </w:tc>
        <w:tc>
          <w:tcPr>
            <w:tcW w:w="2091" w:type="dxa"/>
          </w:tcPr>
          <w:p w:rsidR="00DE0DA1" w:rsidRPr="00E10557" w:rsidRDefault="00DE0DA1" w:rsidP="00DD26E7">
            <w:pPr>
              <w:spacing w:line="360" w:lineRule="auto"/>
            </w:pPr>
            <w:r w:rsidRPr="00E10557">
              <w:t>+1,100</w:t>
            </w:r>
          </w:p>
        </w:tc>
        <w:tc>
          <w:tcPr>
            <w:tcW w:w="2091" w:type="dxa"/>
          </w:tcPr>
          <w:p w:rsidR="00DE0DA1" w:rsidRPr="00E10557" w:rsidRDefault="00DE0DA1" w:rsidP="00DD26E7">
            <w:pPr>
              <w:spacing w:line="360" w:lineRule="auto"/>
            </w:pPr>
            <w:r w:rsidRPr="00E10557">
              <w:t>+1,100</w:t>
            </w:r>
          </w:p>
        </w:tc>
      </w:tr>
      <w:tr w:rsidR="00DE0DA1" w:rsidRPr="00E10557" w:rsidTr="00DE0DA1">
        <w:tc>
          <w:tcPr>
            <w:tcW w:w="2090" w:type="dxa"/>
          </w:tcPr>
          <w:p w:rsidR="00DE0DA1" w:rsidRPr="00E10557" w:rsidRDefault="00DE0DA1" w:rsidP="00DD26E7">
            <w:pPr>
              <w:spacing w:line="360" w:lineRule="auto"/>
            </w:pPr>
            <w:r w:rsidRPr="00E10557">
              <w:t>股票市場指數商品</w:t>
            </w:r>
          </w:p>
        </w:tc>
        <w:tc>
          <w:tcPr>
            <w:tcW w:w="2090" w:type="dxa"/>
          </w:tcPr>
          <w:p w:rsidR="00DE0DA1" w:rsidRPr="00E10557" w:rsidRDefault="00DE0DA1" w:rsidP="00DD26E7">
            <w:pPr>
              <w:spacing w:line="360" w:lineRule="auto"/>
            </w:pPr>
            <w:r w:rsidRPr="00E10557">
              <w:t>-1,000</w:t>
            </w:r>
          </w:p>
        </w:tc>
        <w:tc>
          <w:tcPr>
            <w:tcW w:w="2091" w:type="dxa"/>
          </w:tcPr>
          <w:p w:rsidR="00DE0DA1" w:rsidRPr="00E10557" w:rsidRDefault="00DE0DA1" w:rsidP="00DD26E7">
            <w:pPr>
              <w:spacing w:line="360" w:lineRule="auto"/>
            </w:pPr>
            <w:r w:rsidRPr="00E10557">
              <w:t>+1,400</w:t>
            </w:r>
          </w:p>
        </w:tc>
        <w:tc>
          <w:tcPr>
            <w:tcW w:w="2091" w:type="dxa"/>
          </w:tcPr>
          <w:p w:rsidR="00DE0DA1" w:rsidRPr="00E10557" w:rsidRDefault="00DE0DA1" w:rsidP="00DD26E7">
            <w:pPr>
              <w:spacing w:line="360" w:lineRule="auto"/>
            </w:pPr>
            <w:r w:rsidRPr="00E10557">
              <w:t>+800</w:t>
            </w:r>
          </w:p>
        </w:tc>
      </w:tr>
    </w:tbl>
    <w:p w:rsidR="00DE0DA1" w:rsidRPr="00E10557" w:rsidRDefault="00DE0DA1" w:rsidP="00DD26E7">
      <w:pPr>
        <w:spacing w:line="360" w:lineRule="auto"/>
      </w:pPr>
      <w:r w:rsidRPr="00E10557">
        <w:t>對於無風險資產，其報酬率固定為無風險利率</w:t>
      </w:r>
      <w:r w:rsidRPr="00E10557">
        <w:t>(4%)</w:t>
      </w:r>
      <w:r w:rsidRPr="00E10557">
        <w:rPr>
          <w:rFonts w:eastAsia="新細明體"/>
        </w:rPr>
        <w:t>，</w:t>
      </w:r>
      <w:r w:rsidRPr="00E10557">
        <w:t>但股票市場指數商品則可能有兩種可能的報酬率：</w:t>
      </w:r>
    </w:p>
    <w:p w:rsidR="00DE0DA1" w:rsidRPr="00E10557" w:rsidRDefault="00DE0DA1" w:rsidP="00DD26E7">
      <w:pPr>
        <w:spacing w:line="360" w:lineRule="auto"/>
      </w:pPr>
      <w:r w:rsidRPr="00E10557">
        <w:t>經濟情況佳</w:t>
      </w:r>
      <w:r w:rsidR="000533EF" w:rsidRPr="00E10557">
        <w:rPr>
          <w:rFonts w:eastAsia="標楷體"/>
        </w:rPr>
        <w:t>：</w:t>
      </w:r>
    </w:p>
    <w:p w:rsidR="00DE0DA1" w:rsidRPr="00E10557" w:rsidRDefault="00DE0DA1" w:rsidP="00DD26E7">
      <w:pPr>
        <w:spacing w:line="360" w:lineRule="auto"/>
      </w:pPr>
      <w:r w:rsidRPr="00E10557">
        <w:object w:dxaOrig="2160" w:dyaOrig="660">
          <v:shape id="_x0000_i1044" type="#_x0000_t75" style="width:108pt;height:33pt" o:ole="">
            <v:imagedata r:id="rId45" o:title=""/>
          </v:shape>
          <o:OLEObject Type="Embed" ProgID="Unknown" ShapeID="_x0000_i1044" DrawAspect="Content" ObjectID="_1629658811" r:id="rId46"/>
        </w:object>
      </w:r>
    </w:p>
    <w:p w:rsidR="00DE0DA1" w:rsidRPr="00E10557" w:rsidRDefault="00DE0DA1" w:rsidP="00DD26E7">
      <w:pPr>
        <w:spacing w:line="360" w:lineRule="auto"/>
      </w:pPr>
      <w:r w:rsidRPr="00E10557">
        <w:t>經濟其</w:t>
      </w:r>
      <w:proofErr w:type="gramStart"/>
      <w:r w:rsidRPr="00E10557">
        <w:t>況</w:t>
      </w:r>
      <w:proofErr w:type="gramEnd"/>
      <w:r w:rsidRPr="00E10557">
        <w:t>差</w:t>
      </w:r>
      <w:r w:rsidR="000533EF" w:rsidRPr="00E10557">
        <w:rPr>
          <w:rFonts w:eastAsia="標楷體"/>
        </w:rPr>
        <w:t>：</w:t>
      </w:r>
    </w:p>
    <w:p w:rsidR="00DE0DA1" w:rsidRPr="00E10557" w:rsidRDefault="00DE0DA1" w:rsidP="00DD26E7">
      <w:pPr>
        <w:spacing w:line="360" w:lineRule="auto"/>
      </w:pPr>
      <w:r w:rsidRPr="00E10557">
        <w:object w:dxaOrig="2020" w:dyaOrig="660">
          <v:shape id="_x0000_i1045" type="#_x0000_t75" style="width:100.8pt;height:33pt" o:ole="">
            <v:imagedata r:id="rId47" o:title=""/>
          </v:shape>
          <o:OLEObject Type="Embed" ProgID="Unknown" ShapeID="_x0000_i1045" DrawAspect="Content" ObjectID="_1629658812" r:id="rId48"/>
        </w:object>
      </w:r>
    </w:p>
    <w:p w:rsidR="00DE0DA1" w:rsidRPr="00E10557" w:rsidRDefault="00DE0DA1" w:rsidP="00DD26E7">
      <w:pPr>
        <w:spacing w:line="360" w:lineRule="auto"/>
      </w:pPr>
      <w:r w:rsidRPr="00E10557">
        <w:t>因此股票市場指數商品的預期報酬率為：</w:t>
      </w:r>
    </w:p>
    <w:p w:rsidR="00DE0DA1" w:rsidRPr="00E10557" w:rsidRDefault="00DE0DA1" w:rsidP="00DD26E7">
      <w:pPr>
        <w:spacing w:line="360" w:lineRule="auto"/>
      </w:pPr>
      <w:r w:rsidRPr="00E10557">
        <w:object w:dxaOrig="3739" w:dyaOrig="320">
          <v:shape id="_x0000_i1046" type="#_x0000_t75" style="width:187.2pt;height:16.2pt" o:ole="">
            <v:imagedata r:id="rId49" o:title=""/>
          </v:shape>
          <o:OLEObject Type="Embed" ProgID="Unknown" ShapeID="_x0000_i1046" DrawAspect="Content" ObjectID="_1629658813" r:id="rId50"/>
        </w:object>
      </w:r>
    </w:p>
    <w:p w:rsidR="00DE0DA1" w:rsidRPr="00E10557" w:rsidRDefault="00074144" w:rsidP="00DD26E7">
      <w:pPr>
        <w:spacing w:line="360" w:lineRule="auto"/>
      </w:pPr>
      <w:r w:rsidRPr="00E10557">
        <w:t>該預期報酬率高於無風險利率</w:t>
      </w:r>
      <w:r w:rsidRPr="00E10557">
        <w:t>4%</w:t>
      </w:r>
      <w:r w:rsidRPr="00E10557">
        <w:rPr>
          <w:rFonts w:eastAsia="新細明體"/>
        </w:rPr>
        <w:t>，</w:t>
      </w:r>
      <w:r w:rsidRPr="00E10557">
        <w:t>所超出的</w:t>
      </w:r>
      <w:r w:rsidRPr="00E10557">
        <w:t>6%</w:t>
      </w:r>
      <w:r w:rsidRPr="00E10557">
        <w:t>即為投資人所要求的</w:t>
      </w:r>
      <w:proofErr w:type="gramStart"/>
      <w:r w:rsidRPr="00E10557">
        <w:t>風險溢酬</w:t>
      </w:r>
      <w:proofErr w:type="gramEnd"/>
      <w:r w:rsidRPr="00E10557">
        <w:t>，由此說明也很清楚理解為何股票市場指數商品的市價為</w:t>
      </w:r>
      <w:r w:rsidRPr="00E10557">
        <w:t>1,000</w:t>
      </w:r>
      <w:r w:rsidRPr="00E10557">
        <w:t>元，</w:t>
      </w:r>
      <w:r w:rsidR="000533EF" w:rsidRPr="00E10557">
        <w:t>亦即我們在評價風險資產時必須以</w:t>
      </w:r>
      <w:r w:rsidRPr="00E10557">
        <w:t>預期報酬率對其預期收益進行折現：</w:t>
      </w:r>
    </w:p>
    <w:p w:rsidR="00074144" w:rsidRPr="00E10557" w:rsidRDefault="000533EF" w:rsidP="00DD26E7">
      <w:pPr>
        <w:spacing w:line="360" w:lineRule="auto"/>
      </w:pPr>
      <w:r w:rsidRPr="00E10557">
        <w:object w:dxaOrig="4220" w:dyaOrig="660">
          <v:shape id="_x0000_i1047" type="#_x0000_t75" style="width:210.6pt;height:33pt" o:ole="">
            <v:imagedata r:id="rId51" o:title=""/>
          </v:shape>
          <o:OLEObject Type="Embed" ProgID="Unknown" ShapeID="_x0000_i1047" DrawAspect="Content" ObjectID="_1629658814" r:id="rId52"/>
        </w:object>
      </w:r>
    </w:p>
    <w:p w:rsidR="00074144" w:rsidRPr="00E10557" w:rsidRDefault="00074144" w:rsidP="00DD26E7">
      <w:pPr>
        <w:spacing w:line="360" w:lineRule="auto"/>
      </w:pPr>
    </w:p>
    <w:p w:rsidR="00074144" w:rsidRPr="00E10557" w:rsidRDefault="00074144" w:rsidP="00DD26E7">
      <w:pPr>
        <w:spacing w:line="360" w:lineRule="auto"/>
      </w:pPr>
      <w:proofErr w:type="gramStart"/>
      <w:r w:rsidRPr="00E10557">
        <w:t>無套利</w:t>
      </w:r>
      <w:proofErr w:type="gramEnd"/>
      <w:r w:rsidRPr="00E10557">
        <w:t>機會下的風險資產評價</w:t>
      </w:r>
    </w:p>
    <w:p w:rsidR="00767D27" w:rsidRPr="00E10557" w:rsidRDefault="00767D27" w:rsidP="00DD26E7">
      <w:pPr>
        <w:spacing w:line="360" w:lineRule="auto"/>
      </w:pPr>
      <w:r w:rsidRPr="00E10557">
        <w:t>若</w:t>
      </w:r>
      <w:r w:rsidR="00074144" w:rsidRPr="00E10557">
        <w:t>已經知道</w:t>
      </w:r>
      <w:r w:rsidRPr="00E10557">
        <w:t>某</w:t>
      </w:r>
      <w:r w:rsidR="00074144" w:rsidRPr="00E10557">
        <w:t>無風險債券</w:t>
      </w:r>
      <w:proofErr w:type="gramStart"/>
      <w:r w:rsidRPr="00E10557">
        <w:t>一</w:t>
      </w:r>
      <w:proofErr w:type="gramEnd"/>
      <w:r w:rsidRPr="00E10557">
        <w:t>年後的收益為</w:t>
      </w:r>
      <w:r w:rsidRPr="00E10557">
        <w:t>800</w:t>
      </w:r>
      <w:r w:rsidRPr="00E10557">
        <w:t>元，無風險利率為</w:t>
      </w:r>
      <w:r w:rsidRPr="00E10557">
        <w:t>4%</w:t>
      </w:r>
      <w:r w:rsidRPr="00E10557">
        <w:rPr>
          <w:rFonts w:eastAsia="新細明體"/>
        </w:rPr>
        <w:t>，</w:t>
      </w:r>
      <w:r w:rsidRPr="00E10557">
        <w:t>故目前市價為</w:t>
      </w:r>
      <w:r w:rsidRPr="00E10557">
        <w:t>769</w:t>
      </w:r>
      <w:r w:rsidRPr="00E10557">
        <w:t>美元</w:t>
      </w:r>
      <w:r w:rsidRPr="00E10557">
        <w:rPr>
          <w:rFonts w:eastAsia="新細明體"/>
        </w:rPr>
        <w:t>，</w:t>
      </w:r>
      <w:r w:rsidRPr="00E10557">
        <w:t>而</w:t>
      </w:r>
      <w:r w:rsidR="00074144" w:rsidRPr="00E10557">
        <w:t>股票市場指數商品的現金流量與評價</w:t>
      </w:r>
      <w:r w:rsidRPr="00E10557">
        <w:t>延續上例</w:t>
      </w:r>
      <w:r w:rsidR="00074144" w:rsidRPr="00E10557">
        <w:t>，假若有一檔</w:t>
      </w:r>
      <w:r w:rsidR="00074144" w:rsidRPr="00E10557">
        <w:t>A</w:t>
      </w:r>
      <w:r w:rsidR="00074144" w:rsidRPr="00E10557">
        <w:t>股票</w:t>
      </w:r>
      <w:r w:rsidRPr="00E10557">
        <w:t>(</w:t>
      </w:r>
      <w:r w:rsidRPr="00E10557">
        <w:t>風險資產</w:t>
      </w:r>
      <w:r w:rsidRPr="00E10557">
        <w:t>)</w:t>
      </w:r>
      <w:r w:rsidR="00074144" w:rsidRPr="00E10557">
        <w:t>的未來收益加上</w:t>
      </w:r>
      <w:r w:rsidRPr="00E10557">
        <w:t>該無風險債券未來現金流量正好可以複製股票市場指數商品的現金流量，則我們可以利用此一資訊評價</w:t>
      </w:r>
      <w:r w:rsidRPr="00E10557">
        <w:t>A</w:t>
      </w:r>
      <w:r w:rsidRPr="00E10557">
        <w:t>股票。</w:t>
      </w:r>
    </w:p>
    <w:p w:rsidR="00074144" w:rsidRPr="00E10557" w:rsidRDefault="00767D27" w:rsidP="00DD26E7">
      <w:pPr>
        <w:spacing w:line="360" w:lineRule="auto"/>
        <w:rPr>
          <w:rFonts w:eastAsia="新細明體"/>
        </w:rPr>
      </w:pPr>
      <w:r w:rsidRPr="00E10557">
        <w:t>投資</w:t>
      </w:r>
      <w:r w:rsidRPr="00E10557">
        <w:t>A</w:t>
      </w:r>
      <w:r w:rsidRPr="00E10557">
        <w:t>股票若在經濟情況好時可獲</w:t>
      </w:r>
      <w:r w:rsidRPr="00E10557">
        <w:t>600</w:t>
      </w:r>
      <w:r w:rsidRPr="00E10557">
        <w:t>美元收益，而若經濟情況差則收益為</w:t>
      </w:r>
      <w:r w:rsidRPr="00E10557">
        <w:t>0</w:t>
      </w:r>
      <w:r w:rsidRPr="00E10557">
        <w:rPr>
          <w:rFonts w:eastAsia="新細明體"/>
        </w:rPr>
        <w:t>，則投資</w:t>
      </w:r>
      <w:r w:rsidR="000533EF" w:rsidRPr="00E10557">
        <w:t>無風險債券加上</w:t>
      </w:r>
      <w:r w:rsidRPr="00E10557">
        <w:t>A</w:t>
      </w:r>
      <w:r w:rsidRPr="00E10557">
        <w:t>股票的未來現金流量正好會等於投資股票市場指數商品的</w:t>
      </w:r>
      <w:r w:rsidR="000533EF" w:rsidRPr="00E10557">
        <w:t>未來的</w:t>
      </w:r>
      <w:r w:rsidRPr="00E10557">
        <w:t>現金流量：</w:t>
      </w:r>
    </w:p>
    <w:p w:rsidR="00767D27" w:rsidRPr="00E10557" w:rsidRDefault="00767D27" w:rsidP="00DD26E7">
      <w:pPr>
        <w:spacing w:line="360" w:lineRule="auto"/>
        <w:rPr>
          <w:rFonts w:eastAsia="新細明體"/>
        </w:rPr>
      </w:pPr>
    </w:p>
    <w:tbl>
      <w:tblPr>
        <w:tblStyle w:val="a7"/>
        <w:tblW w:w="0" w:type="auto"/>
        <w:tblLook w:val="04A0" w:firstRow="1" w:lastRow="0" w:firstColumn="1" w:lastColumn="0" w:noHBand="0" w:noVBand="1"/>
      </w:tblPr>
      <w:tblGrid>
        <w:gridCol w:w="2090"/>
        <w:gridCol w:w="2090"/>
        <w:gridCol w:w="2091"/>
        <w:gridCol w:w="2091"/>
      </w:tblGrid>
      <w:tr w:rsidR="00767D27" w:rsidRPr="00E10557" w:rsidTr="00767D27">
        <w:tc>
          <w:tcPr>
            <w:tcW w:w="2090" w:type="dxa"/>
          </w:tcPr>
          <w:p w:rsidR="00767D27" w:rsidRPr="00E10557" w:rsidRDefault="00767D27" w:rsidP="00767D27">
            <w:pPr>
              <w:spacing w:line="360" w:lineRule="auto"/>
            </w:pPr>
          </w:p>
        </w:tc>
        <w:tc>
          <w:tcPr>
            <w:tcW w:w="2090" w:type="dxa"/>
          </w:tcPr>
          <w:p w:rsidR="00767D27" w:rsidRPr="00E10557" w:rsidRDefault="00767D27" w:rsidP="00767D27">
            <w:pPr>
              <w:spacing w:line="360" w:lineRule="auto"/>
            </w:pPr>
          </w:p>
        </w:tc>
        <w:tc>
          <w:tcPr>
            <w:tcW w:w="4182" w:type="dxa"/>
            <w:gridSpan w:val="2"/>
          </w:tcPr>
          <w:p w:rsidR="00767D27" w:rsidRPr="00E10557" w:rsidRDefault="00767D27" w:rsidP="00767D27">
            <w:pPr>
              <w:spacing w:line="360" w:lineRule="auto"/>
            </w:pPr>
            <w:r w:rsidRPr="00E10557">
              <w:t>第</w:t>
            </w:r>
            <w:r w:rsidRPr="00E10557">
              <w:t>1</w:t>
            </w:r>
            <w:r w:rsidRPr="00E10557">
              <w:t>年現金流量</w:t>
            </w:r>
          </w:p>
        </w:tc>
      </w:tr>
      <w:tr w:rsidR="00767D27" w:rsidRPr="00E10557" w:rsidTr="00767D27">
        <w:tc>
          <w:tcPr>
            <w:tcW w:w="2090" w:type="dxa"/>
          </w:tcPr>
          <w:p w:rsidR="00767D27" w:rsidRPr="00E10557" w:rsidRDefault="00767D27" w:rsidP="00767D27">
            <w:pPr>
              <w:spacing w:line="360" w:lineRule="auto"/>
            </w:pPr>
            <w:r w:rsidRPr="00E10557">
              <w:t>資產類別</w:t>
            </w:r>
          </w:p>
        </w:tc>
        <w:tc>
          <w:tcPr>
            <w:tcW w:w="2090" w:type="dxa"/>
          </w:tcPr>
          <w:p w:rsidR="00767D27" w:rsidRPr="00E10557" w:rsidRDefault="00767D27" w:rsidP="00767D27">
            <w:pPr>
              <w:spacing w:line="360" w:lineRule="auto"/>
            </w:pPr>
            <w:r w:rsidRPr="00E10557">
              <w:t>目前市價</w:t>
            </w:r>
            <w:r w:rsidRPr="00E10557">
              <w:t>(</w:t>
            </w:r>
            <w:r w:rsidRPr="00E10557">
              <w:t>買進</w:t>
            </w:r>
            <w:r w:rsidRPr="00E10557">
              <w:t>)</w:t>
            </w:r>
          </w:p>
        </w:tc>
        <w:tc>
          <w:tcPr>
            <w:tcW w:w="2091" w:type="dxa"/>
          </w:tcPr>
          <w:p w:rsidR="00767D27" w:rsidRPr="00E10557" w:rsidRDefault="00767D27" w:rsidP="00767D27">
            <w:pPr>
              <w:spacing w:line="360" w:lineRule="auto"/>
            </w:pPr>
            <w:r w:rsidRPr="00E10557">
              <w:t>經濟情況佳</w:t>
            </w:r>
          </w:p>
        </w:tc>
        <w:tc>
          <w:tcPr>
            <w:tcW w:w="2091" w:type="dxa"/>
          </w:tcPr>
          <w:p w:rsidR="00767D27" w:rsidRPr="00E10557" w:rsidRDefault="00767D27" w:rsidP="00767D27">
            <w:pPr>
              <w:spacing w:line="360" w:lineRule="auto"/>
            </w:pPr>
            <w:r w:rsidRPr="00E10557">
              <w:t>經濟情況差</w:t>
            </w:r>
          </w:p>
        </w:tc>
      </w:tr>
      <w:tr w:rsidR="00767D27" w:rsidRPr="00E10557" w:rsidTr="00767D27">
        <w:tc>
          <w:tcPr>
            <w:tcW w:w="2090" w:type="dxa"/>
          </w:tcPr>
          <w:p w:rsidR="00767D27" w:rsidRPr="00E10557" w:rsidRDefault="00767D27" w:rsidP="00767D27">
            <w:pPr>
              <w:spacing w:line="360" w:lineRule="auto"/>
            </w:pPr>
            <w:r w:rsidRPr="00E10557">
              <w:t>無風險債券</w:t>
            </w:r>
          </w:p>
        </w:tc>
        <w:tc>
          <w:tcPr>
            <w:tcW w:w="2090" w:type="dxa"/>
          </w:tcPr>
          <w:p w:rsidR="00767D27" w:rsidRPr="00E10557" w:rsidRDefault="00767D27" w:rsidP="00767D27">
            <w:pPr>
              <w:spacing w:line="360" w:lineRule="auto"/>
            </w:pPr>
            <w:r w:rsidRPr="00E10557">
              <w:t>-769</w:t>
            </w:r>
          </w:p>
        </w:tc>
        <w:tc>
          <w:tcPr>
            <w:tcW w:w="2091" w:type="dxa"/>
          </w:tcPr>
          <w:p w:rsidR="00767D27" w:rsidRPr="00E10557" w:rsidRDefault="00767D27" w:rsidP="00767D27">
            <w:pPr>
              <w:spacing w:line="360" w:lineRule="auto"/>
            </w:pPr>
            <w:r w:rsidRPr="00E10557">
              <w:t>+800</w:t>
            </w:r>
          </w:p>
        </w:tc>
        <w:tc>
          <w:tcPr>
            <w:tcW w:w="2091" w:type="dxa"/>
          </w:tcPr>
          <w:p w:rsidR="00767D27" w:rsidRPr="00E10557" w:rsidRDefault="00767D27" w:rsidP="00767D27">
            <w:pPr>
              <w:spacing w:line="360" w:lineRule="auto"/>
            </w:pPr>
            <w:r w:rsidRPr="00E10557">
              <w:t>+800</w:t>
            </w:r>
          </w:p>
        </w:tc>
      </w:tr>
      <w:tr w:rsidR="00767D27" w:rsidRPr="00E10557" w:rsidTr="00767D27">
        <w:tc>
          <w:tcPr>
            <w:tcW w:w="2090" w:type="dxa"/>
          </w:tcPr>
          <w:p w:rsidR="00767D27" w:rsidRPr="00E10557" w:rsidRDefault="00767D27" w:rsidP="00767D27">
            <w:pPr>
              <w:spacing w:line="360" w:lineRule="auto"/>
            </w:pPr>
            <w:r w:rsidRPr="00E10557">
              <w:t>A</w:t>
            </w:r>
            <w:r w:rsidRPr="00E10557">
              <w:t>股票</w:t>
            </w:r>
          </w:p>
        </w:tc>
        <w:tc>
          <w:tcPr>
            <w:tcW w:w="2090" w:type="dxa"/>
          </w:tcPr>
          <w:p w:rsidR="00767D27" w:rsidRPr="00E10557" w:rsidRDefault="00767D27" w:rsidP="00767D27">
            <w:pPr>
              <w:spacing w:line="360" w:lineRule="auto"/>
            </w:pPr>
            <w:r w:rsidRPr="00E10557">
              <w:t>？</w:t>
            </w:r>
          </w:p>
        </w:tc>
        <w:tc>
          <w:tcPr>
            <w:tcW w:w="2091" w:type="dxa"/>
          </w:tcPr>
          <w:p w:rsidR="00767D27" w:rsidRPr="00E10557" w:rsidRDefault="00767D27" w:rsidP="00767D27">
            <w:pPr>
              <w:spacing w:line="360" w:lineRule="auto"/>
            </w:pPr>
            <w:r w:rsidRPr="00E10557">
              <w:t>+600</w:t>
            </w:r>
          </w:p>
        </w:tc>
        <w:tc>
          <w:tcPr>
            <w:tcW w:w="2091" w:type="dxa"/>
          </w:tcPr>
          <w:p w:rsidR="00767D27" w:rsidRPr="00E10557" w:rsidRDefault="00767D27" w:rsidP="00767D27">
            <w:pPr>
              <w:spacing w:line="360" w:lineRule="auto"/>
            </w:pPr>
            <w:r w:rsidRPr="00E10557">
              <w:t>0</w:t>
            </w:r>
          </w:p>
        </w:tc>
      </w:tr>
      <w:tr w:rsidR="00767D27" w:rsidRPr="00E10557" w:rsidTr="00767D27">
        <w:tc>
          <w:tcPr>
            <w:tcW w:w="2090" w:type="dxa"/>
          </w:tcPr>
          <w:p w:rsidR="00767D27" w:rsidRPr="00E10557" w:rsidRDefault="00767D27" w:rsidP="00767D27">
            <w:pPr>
              <w:spacing w:line="360" w:lineRule="auto"/>
            </w:pPr>
            <w:r w:rsidRPr="00E10557">
              <w:t>股票市場指數商品</w:t>
            </w:r>
          </w:p>
        </w:tc>
        <w:tc>
          <w:tcPr>
            <w:tcW w:w="2090" w:type="dxa"/>
          </w:tcPr>
          <w:p w:rsidR="00767D27" w:rsidRPr="00E10557" w:rsidRDefault="00767D27" w:rsidP="00767D27">
            <w:pPr>
              <w:spacing w:line="360" w:lineRule="auto"/>
            </w:pPr>
            <w:r w:rsidRPr="00E10557">
              <w:t>-1,000</w:t>
            </w:r>
          </w:p>
        </w:tc>
        <w:tc>
          <w:tcPr>
            <w:tcW w:w="2091" w:type="dxa"/>
          </w:tcPr>
          <w:p w:rsidR="00767D27" w:rsidRPr="00E10557" w:rsidRDefault="00767D27" w:rsidP="00767D27">
            <w:pPr>
              <w:spacing w:line="360" w:lineRule="auto"/>
            </w:pPr>
            <w:r w:rsidRPr="00E10557">
              <w:t>+1,400</w:t>
            </w:r>
          </w:p>
        </w:tc>
        <w:tc>
          <w:tcPr>
            <w:tcW w:w="2091" w:type="dxa"/>
          </w:tcPr>
          <w:p w:rsidR="00767D27" w:rsidRPr="00E10557" w:rsidRDefault="00767D27" w:rsidP="00767D27">
            <w:pPr>
              <w:spacing w:line="360" w:lineRule="auto"/>
            </w:pPr>
            <w:r w:rsidRPr="00E10557">
              <w:t>+800</w:t>
            </w:r>
          </w:p>
        </w:tc>
      </w:tr>
    </w:tbl>
    <w:p w:rsidR="00767D27" w:rsidRPr="00E10557" w:rsidRDefault="00767D27" w:rsidP="00DD26E7">
      <w:pPr>
        <w:spacing w:line="360" w:lineRule="auto"/>
      </w:pPr>
      <w:r w:rsidRPr="00E10557">
        <w:t>根據單一價格律，</w:t>
      </w:r>
      <w:r w:rsidRPr="00E10557">
        <w:t>A</w:t>
      </w:r>
      <w:r w:rsidRPr="00E10557">
        <w:t>股票的評價將為：</w:t>
      </w:r>
      <w:r w:rsidRPr="00E10557">
        <w:t>1,000-769=231</w:t>
      </w:r>
      <w:r w:rsidR="00670D35" w:rsidRPr="00E10557">
        <w:t>美元，偏離此價格就會有套利機會</w:t>
      </w:r>
      <w:r w:rsidR="000533EF" w:rsidRPr="00E10557">
        <w:t>與交易</w:t>
      </w:r>
      <w:r w:rsidR="00670D35" w:rsidRPr="00E10557">
        <w:t>。</w:t>
      </w:r>
    </w:p>
    <w:p w:rsidR="00670D35" w:rsidRPr="00E10557" w:rsidRDefault="00670D35" w:rsidP="00DD26E7">
      <w:pPr>
        <w:spacing w:line="360" w:lineRule="auto"/>
      </w:pPr>
      <w:r w:rsidRPr="00E10557">
        <w:t>根據上述風險資產的訂價方法可推知</w:t>
      </w:r>
      <w:r w:rsidRPr="00E10557">
        <w:t>A</w:t>
      </w:r>
      <w:r w:rsidRPr="00E10557">
        <w:t>股票的預期報酬率：</w:t>
      </w:r>
    </w:p>
    <w:p w:rsidR="00670D35" w:rsidRPr="00E10557" w:rsidRDefault="00670D35" w:rsidP="00DD26E7">
      <w:pPr>
        <w:spacing w:line="360" w:lineRule="auto"/>
      </w:pPr>
      <w:r w:rsidRPr="00E10557">
        <w:object w:dxaOrig="4800" w:dyaOrig="660">
          <v:shape id="_x0000_i1048" type="#_x0000_t75" style="width:240pt;height:33pt" o:ole="">
            <v:imagedata r:id="rId53" o:title=""/>
          </v:shape>
          <o:OLEObject Type="Embed" ProgID="Unknown" ShapeID="_x0000_i1048" DrawAspect="Content" ObjectID="_1629658815" r:id="rId54"/>
        </w:object>
      </w:r>
    </w:p>
    <w:p w:rsidR="00670D35" w:rsidRPr="00E10557" w:rsidRDefault="00670D35" w:rsidP="00DD26E7">
      <w:pPr>
        <w:spacing w:line="360" w:lineRule="auto"/>
      </w:pPr>
      <w:r w:rsidRPr="00E10557">
        <w:t>而預期報酬率</w:t>
      </w:r>
      <w:r w:rsidRPr="00E10557">
        <w:t>=</w:t>
      </w:r>
      <w:r w:rsidR="008D3989" w:rsidRPr="00E10557">
        <w:t>30%=</w:t>
      </w:r>
      <w:r w:rsidRPr="00E10557">
        <w:t>無風險利率＋</w:t>
      </w:r>
      <w:proofErr w:type="gramStart"/>
      <w:r w:rsidRPr="00E10557">
        <w:t>風險溢酬</w:t>
      </w:r>
      <w:proofErr w:type="gramEnd"/>
      <w:r w:rsidR="008D3989" w:rsidRPr="00E10557">
        <w:t>=4%+26%</w:t>
      </w:r>
      <w:r w:rsidR="008D3989" w:rsidRPr="00E10557">
        <w:rPr>
          <w:rFonts w:eastAsia="新細明體"/>
        </w:rPr>
        <w:t>。</w:t>
      </w:r>
    </w:p>
    <w:p w:rsidR="008D3989" w:rsidRPr="00E10557" w:rsidRDefault="008D3989" w:rsidP="00DD26E7">
      <w:pPr>
        <w:spacing w:line="360" w:lineRule="auto"/>
      </w:pPr>
      <w:r w:rsidRPr="00E10557">
        <w:t>A</w:t>
      </w:r>
      <w:r w:rsidRPr="00E10557">
        <w:t>股票和股票市場指數商品的風險</w:t>
      </w:r>
      <w:proofErr w:type="gramStart"/>
      <w:r w:rsidRPr="00E10557">
        <w:t>溢酬之所以</w:t>
      </w:r>
      <w:proofErr w:type="gramEnd"/>
      <w:r w:rsidRPr="00E10557">
        <w:t>有如此大的差異，主反映出</w:t>
      </w:r>
      <w:r w:rsidRPr="00E10557">
        <w:t>A</w:t>
      </w:r>
      <w:r w:rsidRPr="00E10557">
        <w:t>股票的風險程度比股票市場指數商品的風險高很多</w:t>
      </w:r>
      <w:r w:rsidR="005B3CEE" w:rsidRPr="00E10557">
        <w:t>；</w:t>
      </w:r>
      <w:r w:rsidRPr="00E10557">
        <w:t>A</w:t>
      </w:r>
      <w:r w:rsidRPr="00E10557">
        <w:t>股票的報酬率為</w:t>
      </w:r>
      <w:r w:rsidRPr="00E10557">
        <w:t>-100%</w:t>
      </w:r>
      <w:r w:rsidRPr="00E10557">
        <w:t>或</w:t>
      </w:r>
      <w:r w:rsidRPr="00E10557">
        <w:t>+160%</w:t>
      </w:r>
      <w:r w:rsidRPr="00E10557">
        <w:t>，而市場指數商品報酬率則為</w:t>
      </w:r>
      <w:r w:rsidRPr="00E10557">
        <w:t>-20%</w:t>
      </w:r>
      <w:r w:rsidRPr="00E10557">
        <w:t>或</w:t>
      </w:r>
      <w:r w:rsidRPr="00E10557">
        <w:t>+40%</w:t>
      </w:r>
      <w:r w:rsidR="005B3CEE" w:rsidRPr="00E10557">
        <w:t>。</w:t>
      </w:r>
    </w:p>
    <w:p w:rsidR="005B3CEE" w:rsidRPr="00E10557" w:rsidRDefault="005B3CEE" w:rsidP="00DD26E7">
      <w:pPr>
        <w:spacing w:line="360" w:lineRule="auto"/>
      </w:pPr>
    </w:p>
    <w:p w:rsidR="005B3CEE" w:rsidRPr="00E10557" w:rsidRDefault="005B3CEE" w:rsidP="00DD26E7">
      <w:pPr>
        <w:spacing w:line="360" w:lineRule="auto"/>
      </w:pPr>
      <w:r w:rsidRPr="00E10557">
        <w:t>例</w:t>
      </w:r>
      <w:r w:rsidRPr="00E10557">
        <w:t>3A.1(</w:t>
      </w:r>
      <w:r w:rsidRPr="00E10557">
        <w:t>風險</w:t>
      </w:r>
      <w:proofErr w:type="gramStart"/>
      <w:r w:rsidRPr="00E10557">
        <w:t>溢酬為</w:t>
      </w:r>
      <w:proofErr w:type="gramEnd"/>
      <w:r w:rsidRPr="00E10557">
        <w:t>負</w:t>
      </w:r>
      <w:r w:rsidR="000D23D7" w:rsidRPr="00E10557">
        <w:t>值</w:t>
      </w:r>
      <w:r w:rsidRPr="00E10557">
        <w:t>)</w:t>
      </w:r>
    </w:p>
    <w:p w:rsidR="005B3CEE" w:rsidRPr="00E10557" w:rsidRDefault="005B3CEE" w:rsidP="00DD26E7">
      <w:pPr>
        <w:spacing w:line="360" w:lineRule="auto"/>
      </w:pPr>
    </w:p>
    <w:p w:rsidR="005B3CEE" w:rsidRPr="00E10557" w:rsidRDefault="005B3CEE" w:rsidP="00DD26E7">
      <w:pPr>
        <w:spacing w:line="360" w:lineRule="auto"/>
      </w:pPr>
    </w:p>
    <w:tbl>
      <w:tblPr>
        <w:tblStyle w:val="a7"/>
        <w:tblW w:w="0" w:type="auto"/>
        <w:tblLook w:val="04A0" w:firstRow="1" w:lastRow="0" w:firstColumn="1" w:lastColumn="0" w:noHBand="0" w:noVBand="1"/>
      </w:tblPr>
      <w:tblGrid>
        <w:gridCol w:w="2090"/>
        <w:gridCol w:w="2090"/>
        <w:gridCol w:w="2091"/>
        <w:gridCol w:w="2091"/>
      </w:tblGrid>
      <w:tr w:rsidR="005B3CEE" w:rsidRPr="00E10557" w:rsidTr="008A0A92">
        <w:tc>
          <w:tcPr>
            <w:tcW w:w="2090" w:type="dxa"/>
          </w:tcPr>
          <w:p w:rsidR="005B3CEE" w:rsidRPr="00E10557" w:rsidRDefault="005B3CEE" w:rsidP="008A0A92">
            <w:pPr>
              <w:spacing w:line="360" w:lineRule="auto"/>
            </w:pPr>
          </w:p>
        </w:tc>
        <w:tc>
          <w:tcPr>
            <w:tcW w:w="2090" w:type="dxa"/>
          </w:tcPr>
          <w:p w:rsidR="005B3CEE" w:rsidRPr="00E10557" w:rsidRDefault="005B3CEE" w:rsidP="008A0A92">
            <w:pPr>
              <w:spacing w:line="360" w:lineRule="auto"/>
            </w:pPr>
          </w:p>
        </w:tc>
        <w:tc>
          <w:tcPr>
            <w:tcW w:w="4182" w:type="dxa"/>
            <w:gridSpan w:val="2"/>
          </w:tcPr>
          <w:p w:rsidR="005B3CEE" w:rsidRPr="00E10557" w:rsidRDefault="005B3CEE" w:rsidP="008A0A92">
            <w:pPr>
              <w:spacing w:line="360" w:lineRule="auto"/>
            </w:pPr>
            <w:r w:rsidRPr="00E10557">
              <w:t>第</w:t>
            </w:r>
            <w:r w:rsidRPr="00E10557">
              <w:t>1</w:t>
            </w:r>
            <w:r w:rsidRPr="00E10557">
              <w:t>年現金流量</w:t>
            </w:r>
          </w:p>
        </w:tc>
      </w:tr>
      <w:tr w:rsidR="005B3CEE" w:rsidRPr="00E10557" w:rsidTr="008A0A92">
        <w:tc>
          <w:tcPr>
            <w:tcW w:w="2090" w:type="dxa"/>
          </w:tcPr>
          <w:p w:rsidR="005B3CEE" w:rsidRPr="00E10557" w:rsidRDefault="005B3CEE" w:rsidP="008A0A92">
            <w:pPr>
              <w:spacing w:line="360" w:lineRule="auto"/>
            </w:pPr>
            <w:r w:rsidRPr="00E10557">
              <w:t>資產類別</w:t>
            </w:r>
          </w:p>
        </w:tc>
        <w:tc>
          <w:tcPr>
            <w:tcW w:w="2090" w:type="dxa"/>
          </w:tcPr>
          <w:p w:rsidR="005B3CEE" w:rsidRPr="00E10557" w:rsidRDefault="005B3CEE" w:rsidP="008A0A92">
            <w:pPr>
              <w:spacing w:line="360" w:lineRule="auto"/>
            </w:pPr>
            <w:r w:rsidRPr="00E10557">
              <w:t>目前市價</w:t>
            </w:r>
            <w:r w:rsidRPr="00E10557">
              <w:t>(</w:t>
            </w:r>
            <w:r w:rsidRPr="00E10557">
              <w:t>買進</w:t>
            </w:r>
            <w:r w:rsidRPr="00E10557">
              <w:t>)</w:t>
            </w:r>
          </w:p>
        </w:tc>
        <w:tc>
          <w:tcPr>
            <w:tcW w:w="2091" w:type="dxa"/>
          </w:tcPr>
          <w:p w:rsidR="005B3CEE" w:rsidRPr="00E10557" w:rsidRDefault="005B3CEE" w:rsidP="008A0A92">
            <w:pPr>
              <w:spacing w:line="360" w:lineRule="auto"/>
            </w:pPr>
            <w:r w:rsidRPr="00E10557">
              <w:t>經濟情況佳</w:t>
            </w:r>
          </w:p>
        </w:tc>
        <w:tc>
          <w:tcPr>
            <w:tcW w:w="2091" w:type="dxa"/>
          </w:tcPr>
          <w:p w:rsidR="005B3CEE" w:rsidRPr="00E10557" w:rsidRDefault="005B3CEE" w:rsidP="008A0A92">
            <w:pPr>
              <w:spacing w:line="360" w:lineRule="auto"/>
            </w:pPr>
            <w:r w:rsidRPr="00E10557">
              <w:t>經濟情況差</w:t>
            </w:r>
          </w:p>
        </w:tc>
      </w:tr>
      <w:tr w:rsidR="005B3CEE" w:rsidRPr="00E10557" w:rsidTr="008A0A92">
        <w:tc>
          <w:tcPr>
            <w:tcW w:w="2090" w:type="dxa"/>
          </w:tcPr>
          <w:p w:rsidR="005B3CEE" w:rsidRPr="00E10557" w:rsidRDefault="005B3CEE" w:rsidP="008A0A92">
            <w:pPr>
              <w:spacing w:line="360" w:lineRule="auto"/>
            </w:pPr>
            <w:r w:rsidRPr="00E10557">
              <w:t>股票市場指數商品</w:t>
            </w:r>
          </w:p>
        </w:tc>
        <w:tc>
          <w:tcPr>
            <w:tcW w:w="2090" w:type="dxa"/>
          </w:tcPr>
          <w:p w:rsidR="005B3CEE" w:rsidRPr="00E10557" w:rsidRDefault="005B3CEE" w:rsidP="008A0A92">
            <w:pPr>
              <w:spacing w:line="360" w:lineRule="auto"/>
            </w:pPr>
            <w:r w:rsidRPr="00E10557">
              <w:t>-1,000</w:t>
            </w:r>
          </w:p>
        </w:tc>
        <w:tc>
          <w:tcPr>
            <w:tcW w:w="2091" w:type="dxa"/>
          </w:tcPr>
          <w:p w:rsidR="005B3CEE" w:rsidRPr="00E10557" w:rsidRDefault="005B3CEE" w:rsidP="008A0A92">
            <w:pPr>
              <w:spacing w:line="360" w:lineRule="auto"/>
            </w:pPr>
            <w:r w:rsidRPr="00E10557">
              <w:t>+1,400</w:t>
            </w:r>
          </w:p>
        </w:tc>
        <w:tc>
          <w:tcPr>
            <w:tcW w:w="2091" w:type="dxa"/>
          </w:tcPr>
          <w:p w:rsidR="005B3CEE" w:rsidRPr="00E10557" w:rsidRDefault="005B3CEE" w:rsidP="008A0A92">
            <w:pPr>
              <w:spacing w:line="360" w:lineRule="auto"/>
            </w:pPr>
            <w:r w:rsidRPr="00E10557">
              <w:t>+800</w:t>
            </w:r>
          </w:p>
        </w:tc>
      </w:tr>
      <w:tr w:rsidR="005B3CEE" w:rsidRPr="00E10557" w:rsidTr="008A0A92">
        <w:tc>
          <w:tcPr>
            <w:tcW w:w="2090" w:type="dxa"/>
          </w:tcPr>
          <w:p w:rsidR="005B3CEE" w:rsidRPr="00E10557" w:rsidRDefault="005B3CEE" w:rsidP="008A0A92">
            <w:pPr>
              <w:spacing w:line="360" w:lineRule="auto"/>
            </w:pPr>
            <w:r w:rsidRPr="00E10557">
              <w:t>B</w:t>
            </w:r>
            <w:r w:rsidRPr="00E10557">
              <w:t>股票</w:t>
            </w:r>
          </w:p>
        </w:tc>
        <w:tc>
          <w:tcPr>
            <w:tcW w:w="2090" w:type="dxa"/>
          </w:tcPr>
          <w:p w:rsidR="005B3CEE" w:rsidRPr="00E10557" w:rsidRDefault="005B3CEE" w:rsidP="008A0A92">
            <w:pPr>
              <w:spacing w:line="360" w:lineRule="auto"/>
            </w:pPr>
            <w:r w:rsidRPr="00E10557">
              <w:t>？</w:t>
            </w:r>
          </w:p>
        </w:tc>
        <w:tc>
          <w:tcPr>
            <w:tcW w:w="2091" w:type="dxa"/>
          </w:tcPr>
          <w:p w:rsidR="005B3CEE" w:rsidRPr="00E10557" w:rsidRDefault="00790E8B" w:rsidP="008A0A92">
            <w:pPr>
              <w:spacing w:line="360" w:lineRule="auto"/>
            </w:pPr>
            <w:r w:rsidRPr="00E10557">
              <w:t>0</w:t>
            </w:r>
          </w:p>
        </w:tc>
        <w:tc>
          <w:tcPr>
            <w:tcW w:w="2091" w:type="dxa"/>
          </w:tcPr>
          <w:p w:rsidR="005B3CEE" w:rsidRPr="00E10557" w:rsidRDefault="00790E8B" w:rsidP="008A0A92">
            <w:pPr>
              <w:spacing w:line="360" w:lineRule="auto"/>
            </w:pPr>
            <w:r w:rsidRPr="00E10557">
              <w:t>+60</w:t>
            </w:r>
            <w:r w:rsidR="005B3CEE" w:rsidRPr="00E10557">
              <w:t>0</w:t>
            </w:r>
          </w:p>
        </w:tc>
      </w:tr>
      <w:tr w:rsidR="005B3CEE" w:rsidRPr="00E10557" w:rsidTr="008A0A92">
        <w:tc>
          <w:tcPr>
            <w:tcW w:w="2090" w:type="dxa"/>
          </w:tcPr>
          <w:p w:rsidR="005B3CEE" w:rsidRPr="00E10557" w:rsidRDefault="005B3CEE" w:rsidP="008A0A92">
            <w:pPr>
              <w:spacing w:line="360" w:lineRule="auto"/>
            </w:pPr>
            <w:r w:rsidRPr="00E10557">
              <w:t>無風險債券</w:t>
            </w:r>
          </w:p>
        </w:tc>
        <w:tc>
          <w:tcPr>
            <w:tcW w:w="2090" w:type="dxa"/>
          </w:tcPr>
          <w:p w:rsidR="005B3CEE" w:rsidRPr="00E10557" w:rsidRDefault="00790E8B" w:rsidP="008A0A92">
            <w:pPr>
              <w:spacing w:line="360" w:lineRule="auto"/>
            </w:pPr>
            <w:r w:rsidRPr="00E10557">
              <w:t>-1,346</w:t>
            </w:r>
          </w:p>
        </w:tc>
        <w:tc>
          <w:tcPr>
            <w:tcW w:w="2091" w:type="dxa"/>
          </w:tcPr>
          <w:p w:rsidR="005B3CEE" w:rsidRPr="00E10557" w:rsidRDefault="005B3CEE" w:rsidP="008A0A92">
            <w:pPr>
              <w:spacing w:line="360" w:lineRule="auto"/>
            </w:pPr>
            <w:r w:rsidRPr="00E10557">
              <w:t>+1,400</w:t>
            </w:r>
          </w:p>
        </w:tc>
        <w:tc>
          <w:tcPr>
            <w:tcW w:w="2091" w:type="dxa"/>
          </w:tcPr>
          <w:p w:rsidR="005B3CEE" w:rsidRPr="00E10557" w:rsidRDefault="00995E74" w:rsidP="008A0A92">
            <w:pPr>
              <w:spacing w:line="360" w:lineRule="auto"/>
            </w:pPr>
            <w:r w:rsidRPr="00E10557">
              <w:t>+1,4</w:t>
            </w:r>
            <w:r w:rsidR="005B3CEE" w:rsidRPr="00E10557">
              <w:t>00</w:t>
            </w:r>
          </w:p>
        </w:tc>
      </w:tr>
    </w:tbl>
    <w:p w:rsidR="00790E8B" w:rsidRPr="00E10557" w:rsidRDefault="00790E8B" w:rsidP="00790E8B">
      <w:pPr>
        <w:spacing w:line="360" w:lineRule="auto"/>
      </w:pPr>
      <w:r w:rsidRPr="00E10557">
        <w:t>根據單一價格律，</w:t>
      </w:r>
      <w:r w:rsidRPr="00E10557">
        <w:t>B</w:t>
      </w:r>
      <w:r w:rsidRPr="00E10557">
        <w:t>股票的評價將為：</w:t>
      </w:r>
      <w:r w:rsidRPr="00E10557">
        <w:t>1,346-1,000=346</w:t>
      </w:r>
      <w:r w:rsidRPr="00E10557">
        <w:t>美元，偏離此價格就會有套利機會</w:t>
      </w:r>
      <w:r w:rsidR="000533EF" w:rsidRPr="00E10557">
        <w:t>與交易</w:t>
      </w:r>
      <w:r w:rsidRPr="00E10557">
        <w:t>。</w:t>
      </w:r>
    </w:p>
    <w:p w:rsidR="00790E8B" w:rsidRPr="00E10557" w:rsidRDefault="00790E8B" w:rsidP="00790E8B">
      <w:pPr>
        <w:spacing w:line="360" w:lineRule="auto"/>
      </w:pPr>
      <w:r w:rsidRPr="00E10557">
        <w:t>根據上述風險資產的訂價方法可推知</w:t>
      </w:r>
      <w:r w:rsidRPr="00E10557">
        <w:t>B</w:t>
      </w:r>
      <w:r w:rsidRPr="00E10557">
        <w:t>股票的預期報酬率：</w:t>
      </w:r>
    </w:p>
    <w:p w:rsidR="00790E8B" w:rsidRPr="00E10557" w:rsidRDefault="000D23D7" w:rsidP="00790E8B">
      <w:pPr>
        <w:spacing w:line="360" w:lineRule="auto"/>
      </w:pPr>
      <w:r w:rsidRPr="00E10557">
        <w:object w:dxaOrig="5420" w:dyaOrig="660">
          <v:shape id="_x0000_i1049" type="#_x0000_t75" style="width:271.2pt;height:33pt" o:ole="">
            <v:imagedata r:id="rId55" o:title=""/>
          </v:shape>
          <o:OLEObject Type="Embed" ProgID="Unknown" ShapeID="_x0000_i1049" DrawAspect="Content" ObjectID="_1629658816" r:id="rId56"/>
        </w:object>
      </w:r>
    </w:p>
    <w:p w:rsidR="00A755E3" w:rsidRPr="00E10557" w:rsidRDefault="00A755E3" w:rsidP="00A755E3">
      <w:pPr>
        <w:spacing w:line="360" w:lineRule="auto"/>
      </w:pPr>
      <w:r w:rsidRPr="00E10557">
        <w:t>而預期報酬率</w:t>
      </w:r>
      <w:r w:rsidRPr="00E10557">
        <w:t>=13.30%=</w:t>
      </w:r>
      <w:r w:rsidR="000D23D7" w:rsidRPr="00E10557">
        <w:t>無風險利率</w:t>
      </w:r>
      <w:r w:rsidR="000D23D7" w:rsidRPr="00E10557">
        <w:t>+</w:t>
      </w:r>
      <w:proofErr w:type="gramStart"/>
      <w:r w:rsidRPr="00E10557">
        <w:t>風險溢酬</w:t>
      </w:r>
      <w:proofErr w:type="gramEnd"/>
      <w:r w:rsidRPr="00E10557">
        <w:t>=4%+(-17.30%)</w:t>
      </w:r>
      <w:r w:rsidRPr="00E10557">
        <w:rPr>
          <w:rFonts w:eastAsia="新細明體"/>
        </w:rPr>
        <w:t>。</w:t>
      </w:r>
    </w:p>
    <w:p w:rsidR="00790E8B" w:rsidRPr="00E10557" w:rsidRDefault="000D23D7" w:rsidP="000D23D7">
      <w:pPr>
        <w:spacing w:line="360" w:lineRule="auto"/>
        <w:jc w:val="both"/>
      </w:pPr>
      <w:r w:rsidRPr="00E10557">
        <w:t>風險</w:t>
      </w:r>
      <w:proofErr w:type="gramStart"/>
      <w:r w:rsidRPr="00E10557">
        <w:t>溢酬之所以</w:t>
      </w:r>
      <w:proofErr w:type="gramEnd"/>
      <w:r w:rsidRPr="00E10557">
        <w:t>會是負值反映出投資人購置此一資產願意損失一部分的報酬率，原因是這項資產是在經濟情況差時反而有較高的收益，因此必須將之視為風險規避者為了避險所進行的交易，亦即是為了不論未來經濟情況如何都可以獲得</w:t>
      </w:r>
      <w:r w:rsidRPr="00E10557">
        <w:t>1,400</w:t>
      </w:r>
      <w:r w:rsidRPr="00E10557">
        <w:t>美元所需要付出的「保險費」</w:t>
      </w:r>
    </w:p>
    <w:p w:rsidR="005B3CEE" w:rsidRPr="00E10557" w:rsidRDefault="005B3CEE" w:rsidP="000D23D7">
      <w:pPr>
        <w:spacing w:line="360" w:lineRule="auto"/>
        <w:jc w:val="both"/>
      </w:pPr>
    </w:p>
    <w:p w:rsidR="008A0A92" w:rsidRPr="00E10557" w:rsidRDefault="008A0A92" w:rsidP="000D23D7">
      <w:pPr>
        <w:spacing w:line="360" w:lineRule="auto"/>
        <w:jc w:val="both"/>
      </w:pPr>
      <w:r w:rsidRPr="00E10557">
        <w:rPr>
          <w:rFonts w:ascii="細明體" w:eastAsia="細明體" w:hAnsi="細明體" w:cs="細明體" w:hint="eastAsia"/>
        </w:rPr>
        <w:t>◎</w:t>
      </w:r>
      <w:r w:rsidRPr="00E10557">
        <w:t>評估資產的風險價格</w:t>
      </w:r>
      <w:r w:rsidR="000533EF" w:rsidRPr="00E10557">
        <w:t>(</w:t>
      </w:r>
      <w:proofErr w:type="gramStart"/>
      <w:r w:rsidR="000533EF" w:rsidRPr="00E10557">
        <w:t>風險溢酬</w:t>
      </w:r>
      <w:proofErr w:type="gramEnd"/>
      <w:r w:rsidR="000533EF" w:rsidRPr="00E10557">
        <w:t>)</w:t>
      </w:r>
      <w:r w:rsidRPr="00E10557">
        <w:t>必須以其相對於其他資產的報酬率波動程度而定，波動</w:t>
      </w:r>
      <w:r w:rsidRPr="00E10557">
        <w:t>(</w:t>
      </w:r>
      <w:r w:rsidRPr="00E10557">
        <w:t>風險</w:t>
      </w:r>
      <w:r w:rsidRPr="00E10557">
        <w:t>)</w:t>
      </w:r>
      <w:r w:rsidRPr="00E10557">
        <w:t>越高的資產其風險</w:t>
      </w:r>
      <w:proofErr w:type="gramStart"/>
      <w:r w:rsidRPr="00E10557">
        <w:t>溢酬越</w:t>
      </w:r>
      <w:proofErr w:type="gramEnd"/>
      <w:r w:rsidRPr="00E10557">
        <w:t>高；若資產的報酬率與市場整體的走向完全相反則</w:t>
      </w:r>
      <w:r w:rsidR="003B5D9D" w:rsidRPr="00E10557">
        <w:t>視</w:t>
      </w:r>
      <w:r w:rsidRPr="00E10557">
        <w:t>其可作為避險性資產，風險</w:t>
      </w:r>
      <w:proofErr w:type="gramStart"/>
      <w:r w:rsidRPr="00E10557">
        <w:t>溢酬將</w:t>
      </w:r>
      <w:proofErr w:type="gramEnd"/>
      <w:r w:rsidRPr="00E10557">
        <w:t>為負值。</w:t>
      </w:r>
    </w:p>
    <w:p w:rsidR="008A0A92" w:rsidRPr="00E10557" w:rsidRDefault="008A0A92" w:rsidP="000D23D7">
      <w:pPr>
        <w:spacing w:line="360" w:lineRule="auto"/>
        <w:jc w:val="both"/>
      </w:pPr>
    </w:p>
    <w:p w:rsidR="008A0A92" w:rsidRPr="00E10557" w:rsidRDefault="008A0A92" w:rsidP="000D23D7">
      <w:pPr>
        <w:spacing w:line="360" w:lineRule="auto"/>
        <w:jc w:val="both"/>
      </w:pPr>
      <w:r w:rsidRPr="00E10557">
        <w:t>例</w:t>
      </w:r>
      <w:r w:rsidRPr="00E10557">
        <w:t>3A.2 (</w:t>
      </w:r>
      <w:r w:rsidRPr="00E10557">
        <w:t>利用風險</w:t>
      </w:r>
      <w:proofErr w:type="gramStart"/>
      <w:r w:rsidRPr="00E10557">
        <w:t>溢酬計算</w:t>
      </w:r>
      <w:proofErr w:type="gramEnd"/>
      <w:r w:rsidRPr="00E10557">
        <w:t>資產價格</w:t>
      </w:r>
      <w:r w:rsidRPr="00E10557">
        <w:t>)</w:t>
      </w:r>
    </w:p>
    <w:p w:rsidR="008A0A92" w:rsidRPr="00E10557" w:rsidRDefault="008A0A92" w:rsidP="000D23D7">
      <w:pPr>
        <w:spacing w:line="360" w:lineRule="auto"/>
        <w:jc w:val="both"/>
      </w:pPr>
      <w:r w:rsidRPr="00E10557">
        <w:t>假設有一種風險性債券，一年後如果經濟情況佳</w:t>
      </w:r>
      <w:r w:rsidR="00092573">
        <w:rPr>
          <w:rFonts w:hint="eastAsia"/>
        </w:rPr>
        <w:t>(50%</w:t>
      </w:r>
      <w:r w:rsidR="00092573">
        <w:rPr>
          <w:rFonts w:hint="eastAsia"/>
        </w:rPr>
        <w:t>機率</w:t>
      </w:r>
      <w:r w:rsidR="00092573">
        <w:rPr>
          <w:rFonts w:hint="eastAsia"/>
        </w:rPr>
        <w:t>)</w:t>
      </w:r>
      <w:r w:rsidRPr="00E10557">
        <w:t>將獲得</w:t>
      </w:r>
      <w:r w:rsidRPr="00E10557">
        <w:t>1,100</w:t>
      </w:r>
      <w:r w:rsidRPr="00E10557">
        <w:t>元收益，而如果經濟情況差</w:t>
      </w:r>
      <w:r w:rsidR="00092573">
        <w:rPr>
          <w:rFonts w:hint="eastAsia"/>
        </w:rPr>
        <w:t>(50%</w:t>
      </w:r>
      <w:r w:rsidR="00092573">
        <w:rPr>
          <w:rFonts w:hint="eastAsia"/>
        </w:rPr>
        <w:t>機率</w:t>
      </w:r>
      <w:r w:rsidR="00092573">
        <w:rPr>
          <w:rFonts w:hint="eastAsia"/>
        </w:rPr>
        <w:t>)</w:t>
      </w:r>
      <w:r w:rsidRPr="00E10557">
        <w:t>則將只獲得</w:t>
      </w:r>
      <w:r w:rsidRPr="00E10557">
        <w:t>1,000</w:t>
      </w:r>
      <w:r w:rsidRPr="00E10557">
        <w:t>元收益，以無風險利率為</w:t>
      </w:r>
      <w:r w:rsidRPr="00E10557">
        <w:t>4%</w:t>
      </w:r>
      <w:r w:rsidRPr="00E10557">
        <w:t>，該債券的風險溢酬為</w:t>
      </w:r>
      <w:r w:rsidRPr="00E10557">
        <w:t>1%</w:t>
      </w:r>
      <w:r w:rsidRPr="00E10557">
        <w:t>，則該債券價格為多少？</w:t>
      </w:r>
    </w:p>
    <w:p w:rsidR="008A0A92" w:rsidRPr="00E10557" w:rsidRDefault="00FA287A" w:rsidP="000D23D7">
      <w:pPr>
        <w:spacing w:line="360" w:lineRule="auto"/>
        <w:jc w:val="both"/>
      </w:pPr>
      <w:r w:rsidRPr="00E10557">
        <w:object w:dxaOrig="4580" w:dyaOrig="660">
          <v:shape id="_x0000_i1050" type="#_x0000_t75" style="width:229.2pt;height:33pt" o:ole="">
            <v:imagedata r:id="rId57" o:title=""/>
          </v:shape>
          <o:OLEObject Type="Embed" ProgID="Unknown" ShapeID="_x0000_i1050" DrawAspect="Content" ObjectID="_1629658817" r:id="rId58"/>
        </w:object>
      </w:r>
    </w:p>
    <w:p w:rsidR="00FA287A" w:rsidRPr="00E10557" w:rsidRDefault="00FA287A" w:rsidP="000D23D7">
      <w:pPr>
        <w:spacing w:line="360" w:lineRule="auto"/>
        <w:jc w:val="both"/>
      </w:pPr>
    </w:p>
    <w:p w:rsidR="00FA287A" w:rsidRPr="00E10557" w:rsidRDefault="00FA287A" w:rsidP="00FA287A">
      <w:pPr>
        <w:spacing w:line="360" w:lineRule="auto"/>
      </w:pPr>
      <w:r w:rsidRPr="00E10557">
        <w:t xml:space="preserve">A.2 </w:t>
      </w:r>
      <w:r w:rsidRPr="00E10557">
        <w:t>考慮交易成本時的套利機會</w:t>
      </w:r>
    </w:p>
    <w:p w:rsidR="00FA287A" w:rsidRPr="00E10557" w:rsidRDefault="00FA287A" w:rsidP="000D23D7">
      <w:pPr>
        <w:spacing w:line="360" w:lineRule="auto"/>
        <w:jc w:val="both"/>
      </w:pPr>
      <w:r w:rsidRPr="00E10557">
        <w:t>交易金融資產時至少會發生交易手續費</w:t>
      </w:r>
      <w:r w:rsidRPr="00E10557">
        <w:t>(</w:t>
      </w:r>
      <w:r w:rsidRPr="00E10557">
        <w:t>傭金</w:t>
      </w:r>
      <w:r w:rsidRPr="00E10557">
        <w:t>)</w:t>
      </w:r>
      <w:r w:rsidRPr="00E10557">
        <w:rPr>
          <w:rFonts w:eastAsia="新細明體"/>
        </w:rPr>
        <w:t>、</w:t>
      </w:r>
      <w:r w:rsidRPr="00E10557">
        <w:t>交易稅，及交易所得稅等交易成本，發現有套利機會時，套得的利益必須大於交易成本，否則市場上</w:t>
      </w:r>
      <w:r w:rsidR="00CB5622" w:rsidRPr="00E10557">
        <w:t>仍</w:t>
      </w:r>
      <w:r w:rsidRPr="00E10557">
        <w:t>不會有套利交易。</w:t>
      </w:r>
    </w:p>
    <w:p w:rsidR="00FA287A" w:rsidRPr="00E10557" w:rsidRDefault="00FA287A" w:rsidP="000D23D7">
      <w:pPr>
        <w:spacing w:line="360" w:lineRule="auto"/>
        <w:jc w:val="both"/>
      </w:pPr>
    </w:p>
    <w:p w:rsidR="00FA287A" w:rsidRPr="00E10557" w:rsidRDefault="00FA287A" w:rsidP="000D23D7">
      <w:pPr>
        <w:spacing w:line="360" w:lineRule="auto"/>
        <w:jc w:val="both"/>
      </w:pPr>
      <w:r w:rsidRPr="00E10557">
        <w:t>例</w:t>
      </w:r>
      <w:r w:rsidRPr="00E10557">
        <w:t>3A.3(</w:t>
      </w:r>
      <w:r w:rsidRPr="00E10557">
        <w:t>存在借貸利率差異時</w:t>
      </w:r>
      <w:proofErr w:type="gramStart"/>
      <w:r w:rsidRPr="00E10557">
        <w:t>的無套利</w:t>
      </w:r>
      <w:proofErr w:type="gramEnd"/>
      <w:r w:rsidRPr="00E10557">
        <w:t>機會的價格區間</w:t>
      </w:r>
      <w:r w:rsidRPr="00E10557">
        <w:t>)</w:t>
      </w:r>
    </w:p>
    <w:p w:rsidR="00FA287A" w:rsidRPr="00E10557" w:rsidRDefault="00FA287A" w:rsidP="000D23D7">
      <w:pPr>
        <w:spacing w:line="360" w:lineRule="auto"/>
        <w:jc w:val="both"/>
      </w:pPr>
      <w:r w:rsidRPr="00E10557">
        <w:t>假設有一無風險債券在</w:t>
      </w:r>
      <w:r w:rsidRPr="00E10557">
        <w:t>1</w:t>
      </w:r>
      <w:r w:rsidRPr="00E10557">
        <w:t>年後將收益</w:t>
      </w:r>
      <w:r w:rsidRPr="00E10557">
        <w:t>1,000</w:t>
      </w:r>
      <w:r w:rsidRPr="00E10557">
        <w:t>美元，若無風險存款利率為</w:t>
      </w:r>
      <w:r w:rsidRPr="00E10557">
        <w:t>6%</w:t>
      </w:r>
      <w:r w:rsidRPr="00E10557">
        <w:rPr>
          <w:rFonts w:eastAsia="新細明體"/>
        </w:rPr>
        <w:t>，</w:t>
      </w:r>
      <w:r w:rsidRPr="00E10557">
        <w:t>無風險貸款利率為</w:t>
      </w:r>
      <w:r w:rsidRPr="00E10557">
        <w:t>6.5%</w:t>
      </w:r>
      <w:r w:rsidRPr="00E10557">
        <w:rPr>
          <w:rFonts w:eastAsia="新細明體"/>
        </w:rPr>
        <w:t>，</w:t>
      </w:r>
      <w:r w:rsidRPr="00E10557">
        <w:t>則分別以存款利率及貸款利率評價該債券的結果為：</w:t>
      </w:r>
    </w:p>
    <w:p w:rsidR="00FA287A" w:rsidRPr="00E10557" w:rsidRDefault="00FA287A" w:rsidP="000D23D7">
      <w:pPr>
        <w:spacing w:line="360" w:lineRule="auto"/>
        <w:jc w:val="both"/>
      </w:pPr>
      <w:r w:rsidRPr="00E10557">
        <w:t>存款利率：</w:t>
      </w:r>
    </w:p>
    <w:p w:rsidR="00FA287A" w:rsidRPr="00E10557" w:rsidRDefault="00FA287A" w:rsidP="000D23D7">
      <w:pPr>
        <w:spacing w:line="360" w:lineRule="auto"/>
        <w:jc w:val="both"/>
      </w:pPr>
      <w:r w:rsidRPr="00E10557">
        <w:object w:dxaOrig="2280" w:dyaOrig="660">
          <v:shape id="_x0000_i1051" type="#_x0000_t75" style="width:114pt;height:33pt" o:ole="">
            <v:imagedata r:id="rId59" o:title=""/>
          </v:shape>
          <o:OLEObject Type="Embed" ProgID="Unknown" ShapeID="_x0000_i1051" DrawAspect="Content" ObjectID="_1629658818" r:id="rId60"/>
        </w:object>
      </w:r>
    </w:p>
    <w:p w:rsidR="00FA287A" w:rsidRPr="00E10557" w:rsidRDefault="00FA287A" w:rsidP="000D23D7">
      <w:pPr>
        <w:spacing w:line="360" w:lineRule="auto"/>
        <w:jc w:val="both"/>
      </w:pPr>
      <w:r w:rsidRPr="00E10557">
        <w:t>貸款利率：</w:t>
      </w:r>
    </w:p>
    <w:p w:rsidR="00FA287A" w:rsidRPr="00E10557" w:rsidRDefault="000B094D" w:rsidP="000D23D7">
      <w:pPr>
        <w:spacing w:line="360" w:lineRule="auto"/>
        <w:jc w:val="both"/>
      </w:pPr>
      <w:r w:rsidRPr="00E10557">
        <w:object w:dxaOrig="2480" w:dyaOrig="660">
          <v:shape id="_x0000_i1052" type="#_x0000_t75" style="width:124.2pt;height:33pt" o:ole="">
            <v:imagedata r:id="rId61" o:title=""/>
          </v:shape>
          <o:OLEObject Type="Embed" ProgID="Unknown" ShapeID="_x0000_i1052" DrawAspect="Content" ObjectID="_1629658819" r:id="rId62"/>
        </w:object>
      </w:r>
    </w:p>
    <w:p w:rsidR="00FA287A" w:rsidRPr="00E10557" w:rsidRDefault="00FA287A" w:rsidP="000D23D7">
      <w:pPr>
        <w:spacing w:line="360" w:lineRule="auto"/>
        <w:jc w:val="both"/>
      </w:pPr>
      <w:r w:rsidRPr="00E10557">
        <w:t>當市場價格介於</w:t>
      </w:r>
      <w:r w:rsidR="000B094D" w:rsidRPr="00E10557">
        <w:t>938.97</w:t>
      </w:r>
      <w:r w:rsidR="000B094D" w:rsidRPr="00E10557">
        <w:t>美元及</w:t>
      </w:r>
      <w:r w:rsidR="000B094D" w:rsidRPr="00E10557">
        <w:t>943.40</w:t>
      </w:r>
      <w:r w:rsidR="000B094D" w:rsidRPr="00E10557">
        <w:t>美元之間時，</w:t>
      </w:r>
      <w:proofErr w:type="gramStart"/>
      <w:r w:rsidR="000B094D" w:rsidRPr="00E10557">
        <w:t>將無套利</w:t>
      </w:r>
      <w:proofErr w:type="gramEnd"/>
      <w:r w:rsidR="000B094D" w:rsidRPr="00E10557">
        <w:t>機會</w:t>
      </w:r>
      <w:r w:rsidR="00A91826" w:rsidRPr="00E10557">
        <w:t>，不會進行套利交易</w:t>
      </w:r>
      <w:r w:rsidR="000B094D" w:rsidRPr="00E10557">
        <w:t>。</w:t>
      </w:r>
    </w:p>
    <w:p w:rsidR="003B5D9D" w:rsidRPr="00E10557" w:rsidRDefault="003B5D9D" w:rsidP="000D23D7">
      <w:pPr>
        <w:spacing w:line="360" w:lineRule="auto"/>
        <w:jc w:val="both"/>
      </w:pPr>
    </w:p>
    <w:p w:rsidR="003B5D9D" w:rsidRPr="00E10557" w:rsidRDefault="003B5D9D" w:rsidP="003B5D9D">
      <w:pPr>
        <w:spacing w:line="360" w:lineRule="auto"/>
        <w:jc w:val="both"/>
      </w:pPr>
    </w:p>
    <w:p w:rsidR="003B5D9D" w:rsidRDefault="003B5D9D" w:rsidP="003B5D9D">
      <w:pPr>
        <w:spacing w:line="360" w:lineRule="auto"/>
        <w:jc w:val="both"/>
        <w:rPr>
          <w:rFonts w:asciiTheme="minorEastAsia" w:hAnsiTheme="minorEastAsia"/>
        </w:rPr>
      </w:pPr>
      <w:r w:rsidRPr="00E10557">
        <w:rPr>
          <w:rFonts w:ascii="細明體" w:eastAsia="細明體" w:hAnsi="細明體" w:cs="細明體" w:hint="eastAsia"/>
        </w:rPr>
        <w:t>◎</w:t>
      </w:r>
      <w:r w:rsidRPr="00E10557">
        <w:t>在本章附錄中只討論了風險性資產只有一種風險來源</w:t>
      </w:r>
      <w:r w:rsidRPr="00E10557">
        <w:t>(</w:t>
      </w:r>
      <w:r w:rsidRPr="00E10557">
        <w:t>經濟情況</w:t>
      </w:r>
      <w:r w:rsidRPr="00E10557">
        <w:t>)</w:t>
      </w:r>
      <w:r w:rsidRPr="00E10557">
        <w:t>、兩種可能結果</w:t>
      </w:r>
      <w:r w:rsidRPr="00E10557">
        <w:t>(</w:t>
      </w:r>
      <w:r w:rsidRPr="00E10557">
        <w:t>兩種可能收益</w:t>
      </w:r>
      <w:r w:rsidRPr="00E10557">
        <w:t>)</w:t>
      </w:r>
      <w:r w:rsidRPr="00E10557">
        <w:t>的情境，到了本書的第</w:t>
      </w:r>
      <w:r w:rsidRPr="00E10557">
        <w:t>4</w:t>
      </w:r>
      <w:r w:rsidRPr="00E10557">
        <w:t>部分，將會進一步討論多種風險來源、多種可能結果的情境</w:t>
      </w:r>
      <w:r w:rsidRPr="00E10557">
        <w:rPr>
          <w:rFonts w:eastAsia="標楷體"/>
        </w:rPr>
        <w:t>。</w:t>
      </w:r>
    </w:p>
    <w:p w:rsidR="003B5D9D" w:rsidRPr="003B5D9D" w:rsidRDefault="003B5D9D" w:rsidP="000D23D7">
      <w:pPr>
        <w:spacing w:line="360" w:lineRule="auto"/>
        <w:jc w:val="both"/>
      </w:pPr>
    </w:p>
    <w:sectPr w:rsidR="003B5D9D" w:rsidRPr="003B5D9D">
      <w:footerReference w:type="default" r:id="rId6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D41" w:rsidRDefault="00381D41" w:rsidP="00C92CEA">
      <w:r>
        <w:separator/>
      </w:r>
    </w:p>
  </w:endnote>
  <w:endnote w:type="continuationSeparator" w:id="0">
    <w:p w:rsidR="00381D41" w:rsidRDefault="00381D41" w:rsidP="00C92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6867155"/>
      <w:docPartObj>
        <w:docPartGallery w:val="Page Numbers (Bottom of Page)"/>
        <w:docPartUnique/>
      </w:docPartObj>
    </w:sdtPr>
    <w:sdtEndPr/>
    <w:sdtContent>
      <w:p w:rsidR="00C92CEA" w:rsidRDefault="00C92CEA">
        <w:pPr>
          <w:pStyle w:val="aa"/>
          <w:jc w:val="center"/>
        </w:pPr>
        <w:r>
          <w:fldChar w:fldCharType="begin"/>
        </w:r>
        <w:r>
          <w:instrText>PAGE   \* MERGEFORMAT</w:instrText>
        </w:r>
        <w:r>
          <w:fldChar w:fldCharType="separate"/>
        </w:r>
        <w:r w:rsidR="00887B9E" w:rsidRPr="00887B9E">
          <w:rPr>
            <w:noProof/>
            <w:lang w:val="zh-TW"/>
          </w:rPr>
          <w:t>4</w:t>
        </w:r>
        <w:r>
          <w:fldChar w:fldCharType="end"/>
        </w:r>
      </w:p>
    </w:sdtContent>
  </w:sdt>
  <w:p w:rsidR="00C92CEA" w:rsidRDefault="00C92CE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D41" w:rsidRDefault="00381D41" w:rsidP="00C92CEA">
      <w:r>
        <w:separator/>
      </w:r>
    </w:p>
  </w:footnote>
  <w:footnote w:type="continuationSeparator" w:id="0">
    <w:p w:rsidR="00381D41" w:rsidRDefault="00381D41" w:rsidP="00C92C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E7"/>
    <w:rsid w:val="00035531"/>
    <w:rsid w:val="00044C7E"/>
    <w:rsid w:val="000533EF"/>
    <w:rsid w:val="00074144"/>
    <w:rsid w:val="00090C71"/>
    <w:rsid w:val="00092573"/>
    <w:rsid w:val="000B094D"/>
    <w:rsid w:val="000D23D7"/>
    <w:rsid w:val="001644D0"/>
    <w:rsid w:val="001C0BF4"/>
    <w:rsid w:val="001E0C2E"/>
    <w:rsid w:val="001F15E0"/>
    <w:rsid w:val="002832D4"/>
    <w:rsid w:val="002B3FC0"/>
    <w:rsid w:val="002C04AE"/>
    <w:rsid w:val="002F773E"/>
    <w:rsid w:val="0030453F"/>
    <w:rsid w:val="00306492"/>
    <w:rsid w:val="00336B31"/>
    <w:rsid w:val="00365395"/>
    <w:rsid w:val="00381D41"/>
    <w:rsid w:val="003B5D9D"/>
    <w:rsid w:val="0042676D"/>
    <w:rsid w:val="004360CC"/>
    <w:rsid w:val="004372D6"/>
    <w:rsid w:val="00492DFB"/>
    <w:rsid w:val="004D2440"/>
    <w:rsid w:val="00545692"/>
    <w:rsid w:val="005B3CEE"/>
    <w:rsid w:val="005F4273"/>
    <w:rsid w:val="00605A3D"/>
    <w:rsid w:val="00635E04"/>
    <w:rsid w:val="00666238"/>
    <w:rsid w:val="00670D35"/>
    <w:rsid w:val="006F3EFA"/>
    <w:rsid w:val="00721E3F"/>
    <w:rsid w:val="00745010"/>
    <w:rsid w:val="00767D27"/>
    <w:rsid w:val="007863D7"/>
    <w:rsid w:val="00790E8B"/>
    <w:rsid w:val="007C75BA"/>
    <w:rsid w:val="007F1B27"/>
    <w:rsid w:val="00807AF2"/>
    <w:rsid w:val="008409E5"/>
    <w:rsid w:val="00842DE1"/>
    <w:rsid w:val="0085723D"/>
    <w:rsid w:val="00887B9E"/>
    <w:rsid w:val="008A0A92"/>
    <w:rsid w:val="008D341A"/>
    <w:rsid w:val="008D3989"/>
    <w:rsid w:val="008E3465"/>
    <w:rsid w:val="0091547F"/>
    <w:rsid w:val="00932138"/>
    <w:rsid w:val="00936945"/>
    <w:rsid w:val="00966FF9"/>
    <w:rsid w:val="0097716B"/>
    <w:rsid w:val="00983390"/>
    <w:rsid w:val="00995E74"/>
    <w:rsid w:val="009D38B9"/>
    <w:rsid w:val="00A05471"/>
    <w:rsid w:val="00A7324A"/>
    <w:rsid w:val="00A755E3"/>
    <w:rsid w:val="00A91826"/>
    <w:rsid w:val="00B03099"/>
    <w:rsid w:val="00B04F72"/>
    <w:rsid w:val="00B05C3D"/>
    <w:rsid w:val="00BA1F82"/>
    <w:rsid w:val="00BA7705"/>
    <w:rsid w:val="00BB3494"/>
    <w:rsid w:val="00BB5878"/>
    <w:rsid w:val="00BE636B"/>
    <w:rsid w:val="00BF6C08"/>
    <w:rsid w:val="00C029AE"/>
    <w:rsid w:val="00C92CEA"/>
    <w:rsid w:val="00CB5622"/>
    <w:rsid w:val="00D14DCA"/>
    <w:rsid w:val="00D20807"/>
    <w:rsid w:val="00DD26E7"/>
    <w:rsid w:val="00DD608E"/>
    <w:rsid w:val="00DE0DA1"/>
    <w:rsid w:val="00DE1816"/>
    <w:rsid w:val="00DF1B33"/>
    <w:rsid w:val="00E10557"/>
    <w:rsid w:val="00E300FE"/>
    <w:rsid w:val="00EB48A7"/>
    <w:rsid w:val="00EE77A1"/>
    <w:rsid w:val="00F10949"/>
    <w:rsid w:val="00F6485D"/>
    <w:rsid w:val="00F83067"/>
    <w:rsid w:val="00F96B57"/>
    <w:rsid w:val="00FA287A"/>
    <w:rsid w:val="00FB44C3"/>
    <w:rsid w:val="00FC4AF7"/>
    <w:rsid w:val="00FD47F2"/>
    <w:rsid w:val="00FE10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842DE1"/>
    <w:pPr>
      <w:jc w:val="center"/>
    </w:pPr>
  </w:style>
  <w:style w:type="character" w:customStyle="1" w:styleId="a4">
    <w:name w:val="註釋標題 字元"/>
    <w:basedOn w:val="a0"/>
    <w:link w:val="a3"/>
    <w:uiPriority w:val="99"/>
    <w:rsid w:val="00842DE1"/>
  </w:style>
  <w:style w:type="paragraph" w:styleId="a5">
    <w:name w:val="Closing"/>
    <w:basedOn w:val="a"/>
    <w:link w:val="a6"/>
    <w:uiPriority w:val="99"/>
    <w:unhideWhenUsed/>
    <w:rsid w:val="00842DE1"/>
    <w:pPr>
      <w:ind w:leftChars="1800" w:left="100"/>
    </w:pPr>
  </w:style>
  <w:style w:type="character" w:customStyle="1" w:styleId="a6">
    <w:name w:val="結語 字元"/>
    <w:basedOn w:val="a0"/>
    <w:link w:val="a5"/>
    <w:uiPriority w:val="99"/>
    <w:rsid w:val="00842DE1"/>
  </w:style>
  <w:style w:type="table" w:styleId="a7">
    <w:name w:val="Table Grid"/>
    <w:basedOn w:val="a1"/>
    <w:uiPriority w:val="59"/>
    <w:rsid w:val="00FE1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C92CEA"/>
    <w:pPr>
      <w:tabs>
        <w:tab w:val="center" w:pos="4153"/>
        <w:tab w:val="right" w:pos="8306"/>
      </w:tabs>
      <w:snapToGrid w:val="0"/>
    </w:pPr>
    <w:rPr>
      <w:sz w:val="20"/>
      <w:szCs w:val="20"/>
    </w:rPr>
  </w:style>
  <w:style w:type="character" w:customStyle="1" w:styleId="a9">
    <w:name w:val="頁首 字元"/>
    <w:basedOn w:val="a0"/>
    <w:link w:val="a8"/>
    <w:uiPriority w:val="99"/>
    <w:rsid w:val="00C92CEA"/>
    <w:rPr>
      <w:sz w:val="20"/>
      <w:szCs w:val="20"/>
    </w:rPr>
  </w:style>
  <w:style w:type="paragraph" w:styleId="aa">
    <w:name w:val="footer"/>
    <w:basedOn w:val="a"/>
    <w:link w:val="ab"/>
    <w:uiPriority w:val="99"/>
    <w:unhideWhenUsed/>
    <w:rsid w:val="00C92CEA"/>
    <w:pPr>
      <w:tabs>
        <w:tab w:val="center" w:pos="4153"/>
        <w:tab w:val="right" w:pos="8306"/>
      </w:tabs>
      <w:snapToGrid w:val="0"/>
    </w:pPr>
    <w:rPr>
      <w:sz w:val="20"/>
      <w:szCs w:val="20"/>
    </w:rPr>
  </w:style>
  <w:style w:type="character" w:customStyle="1" w:styleId="ab">
    <w:name w:val="頁尾 字元"/>
    <w:basedOn w:val="a0"/>
    <w:link w:val="aa"/>
    <w:uiPriority w:val="99"/>
    <w:rsid w:val="00C92CE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842DE1"/>
    <w:pPr>
      <w:jc w:val="center"/>
    </w:pPr>
  </w:style>
  <w:style w:type="character" w:customStyle="1" w:styleId="a4">
    <w:name w:val="註釋標題 字元"/>
    <w:basedOn w:val="a0"/>
    <w:link w:val="a3"/>
    <w:uiPriority w:val="99"/>
    <w:rsid w:val="00842DE1"/>
  </w:style>
  <w:style w:type="paragraph" w:styleId="a5">
    <w:name w:val="Closing"/>
    <w:basedOn w:val="a"/>
    <w:link w:val="a6"/>
    <w:uiPriority w:val="99"/>
    <w:unhideWhenUsed/>
    <w:rsid w:val="00842DE1"/>
    <w:pPr>
      <w:ind w:leftChars="1800" w:left="100"/>
    </w:pPr>
  </w:style>
  <w:style w:type="character" w:customStyle="1" w:styleId="a6">
    <w:name w:val="結語 字元"/>
    <w:basedOn w:val="a0"/>
    <w:link w:val="a5"/>
    <w:uiPriority w:val="99"/>
    <w:rsid w:val="00842DE1"/>
  </w:style>
  <w:style w:type="table" w:styleId="a7">
    <w:name w:val="Table Grid"/>
    <w:basedOn w:val="a1"/>
    <w:uiPriority w:val="59"/>
    <w:rsid w:val="00FE1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C92CEA"/>
    <w:pPr>
      <w:tabs>
        <w:tab w:val="center" w:pos="4153"/>
        <w:tab w:val="right" w:pos="8306"/>
      </w:tabs>
      <w:snapToGrid w:val="0"/>
    </w:pPr>
    <w:rPr>
      <w:sz w:val="20"/>
      <w:szCs w:val="20"/>
    </w:rPr>
  </w:style>
  <w:style w:type="character" w:customStyle="1" w:styleId="a9">
    <w:name w:val="頁首 字元"/>
    <w:basedOn w:val="a0"/>
    <w:link w:val="a8"/>
    <w:uiPriority w:val="99"/>
    <w:rsid w:val="00C92CEA"/>
    <w:rPr>
      <w:sz w:val="20"/>
      <w:szCs w:val="20"/>
    </w:rPr>
  </w:style>
  <w:style w:type="paragraph" w:styleId="aa">
    <w:name w:val="footer"/>
    <w:basedOn w:val="a"/>
    <w:link w:val="ab"/>
    <w:uiPriority w:val="99"/>
    <w:unhideWhenUsed/>
    <w:rsid w:val="00C92CEA"/>
    <w:pPr>
      <w:tabs>
        <w:tab w:val="center" w:pos="4153"/>
        <w:tab w:val="right" w:pos="8306"/>
      </w:tabs>
      <w:snapToGrid w:val="0"/>
    </w:pPr>
    <w:rPr>
      <w:sz w:val="20"/>
      <w:szCs w:val="20"/>
    </w:rPr>
  </w:style>
  <w:style w:type="character" w:customStyle="1" w:styleId="ab">
    <w:name w:val="頁尾 字元"/>
    <w:basedOn w:val="a0"/>
    <w:link w:val="aa"/>
    <w:uiPriority w:val="99"/>
    <w:rsid w:val="00C92CE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footer" Target="footer1.xml"/><Relationship Id="rId7" Type="http://schemas.openxmlformats.org/officeDocument/2006/relationships/image" Target="media/image1.wmf"/><Relationship Id="rId2" Type="http://schemas.microsoft.com/office/2007/relationships/stylesWithEffects" Target="stylesWithEffect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5" Type="http://schemas.openxmlformats.org/officeDocument/2006/relationships/footnotes" Target="footnote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TotalTime>
  <Pages>18</Pages>
  <Words>1321</Words>
  <Characters>7534</Characters>
  <Application>Microsoft Office Word</Application>
  <DocSecurity>0</DocSecurity>
  <Lines>62</Lines>
  <Paragraphs>17</Paragraphs>
  <ScaleCrop>false</ScaleCrop>
  <Company/>
  <LinksUpToDate>false</LinksUpToDate>
  <CharactersWithSpaces>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王甡</dc:creator>
  <cp:lastModifiedBy>user</cp:lastModifiedBy>
  <cp:revision>48</cp:revision>
  <dcterms:created xsi:type="dcterms:W3CDTF">2019-09-05T01:51:00Z</dcterms:created>
  <dcterms:modified xsi:type="dcterms:W3CDTF">2019-09-10T14:13:00Z</dcterms:modified>
</cp:coreProperties>
</file>