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CD566" w14:textId="57C7A229" w:rsidR="0049615C" w:rsidRPr="00BA7F49" w:rsidRDefault="0049615C" w:rsidP="0049615C">
      <w:pPr>
        <w:jc w:val="both"/>
        <w:rPr>
          <w:b/>
          <w:bCs/>
          <w:sz w:val="18"/>
          <w:szCs w:val="18"/>
          <w:u w:val="single"/>
        </w:rPr>
      </w:pPr>
      <w:r w:rsidRPr="00BA7F49">
        <w:rPr>
          <w:b/>
          <w:bCs/>
          <w:sz w:val="18"/>
          <w:szCs w:val="18"/>
          <w:u w:val="single"/>
        </w:rPr>
        <w:t xml:space="preserve">Funcionamiento árbol de decisiones cálculo </w:t>
      </w:r>
      <w:proofErr w:type="spellStart"/>
      <w:r w:rsidRPr="00BA7F49">
        <w:rPr>
          <w:b/>
          <w:bCs/>
          <w:sz w:val="18"/>
          <w:szCs w:val="18"/>
          <w:u w:val="single"/>
        </w:rPr>
        <w:t>TTIs</w:t>
      </w:r>
      <w:proofErr w:type="spellEnd"/>
      <w:r w:rsidRPr="00BA7F49">
        <w:rPr>
          <w:b/>
          <w:bCs/>
          <w:sz w:val="18"/>
          <w:szCs w:val="18"/>
          <w:u w:val="single"/>
        </w:rPr>
        <w:t xml:space="preserve"> FMIS</w:t>
      </w:r>
    </w:p>
    <w:p w14:paraId="6F88B10D" w14:textId="77777777" w:rsidR="0049615C" w:rsidRPr="0049615C" w:rsidRDefault="0049615C" w:rsidP="0049615C">
      <w:pPr>
        <w:jc w:val="both"/>
        <w:rPr>
          <w:sz w:val="18"/>
          <w:szCs w:val="18"/>
        </w:rPr>
      </w:pPr>
    </w:p>
    <w:p w14:paraId="33003F0E" w14:textId="3240CEBA" w:rsidR="0049615C" w:rsidRDefault="0049615C" w:rsidP="0049615C">
      <w:pPr>
        <w:jc w:val="both"/>
        <w:rPr>
          <w:sz w:val="18"/>
          <w:szCs w:val="18"/>
        </w:rPr>
      </w:pPr>
      <w:r w:rsidRPr="0049615C">
        <w:rPr>
          <w:sz w:val="18"/>
          <w:szCs w:val="18"/>
        </w:rPr>
        <w:t>Existen parametrizaciones específicas según la tipología de producto, en el Excel que nos adjuntaron cada pestaña identificada en verde es un producto. Estas parametrizaciones existirán en una BBDD programada en Python.</w:t>
      </w:r>
    </w:p>
    <w:p w14:paraId="7FDA68E7" w14:textId="77777777" w:rsidR="0049615C" w:rsidRDefault="0049615C" w:rsidP="0049615C">
      <w:pPr>
        <w:jc w:val="both"/>
        <w:rPr>
          <w:sz w:val="18"/>
          <w:szCs w:val="18"/>
        </w:rPr>
      </w:pPr>
    </w:p>
    <w:p w14:paraId="47BEF1DE" w14:textId="7E8137FB" w:rsidR="0049615C" w:rsidRDefault="00BA7F49" w:rsidP="0049615C">
      <w:pPr>
        <w:jc w:val="both"/>
        <w:rPr>
          <w:b/>
          <w:bCs/>
          <w:sz w:val="18"/>
          <w:szCs w:val="18"/>
        </w:rPr>
      </w:pPr>
      <w:r>
        <w:rPr>
          <w:b/>
          <w:bCs/>
          <w:sz w:val="18"/>
          <w:szCs w:val="18"/>
        </w:rPr>
        <w:t xml:space="preserve">Producto </w:t>
      </w:r>
      <w:proofErr w:type="spellStart"/>
      <w:r w:rsidR="0049615C">
        <w:rPr>
          <w:b/>
          <w:bCs/>
          <w:sz w:val="18"/>
          <w:szCs w:val="18"/>
        </w:rPr>
        <w:t>Current</w:t>
      </w:r>
      <w:proofErr w:type="spellEnd"/>
      <w:r w:rsidR="0049615C">
        <w:rPr>
          <w:b/>
          <w:bCs/>
          <w:sz w:val="18"/>
          <w:szCs w:val="18"/>
        </w:rPr>
        <w:t xml:space="preserve"> </w:t>
      </w:r>
      <w:proofErr w:type="spellStart"/>
      <w:r w:rsidR="0049615C">
        <w:rPr>
          <w:b/>
          <w:bCs/>
          <w:sz w:val="18"/>
          <w:szCs w:val="18"/>
        </w:rPr>
        <w:t>Account</w:t>
      </w:r>
      <w:proofErr w:type="spellEnd"/>
    </w:p>
    <w:p w14:paraId="07400760" w14:textId="42E23F1C" w:rsidR="0049615C" w:rsidRPr="0049615C" w:rsidRDefault="0049615C" w:rsidP="0049615C">
      <w:pPr>
        <w:jc w:val="both"/>
        <w:rPr>
          <w:sz w:val="18"/>
          <w:szCs w:val="18"/>
        </w:rPr>
      </w:pPr>
      <w:r>
        <w:rPr>
          <w:sz w:val="18"/>
          <w:szCs w:val="18"/>
        </w:rPr>
        <w:t>Productos contables:</w:t>
      </w:r>
    </w:p>
    <w:p w14:paraId="55C1B95F" w14:textId="494AD8D5" w:rsidR="0049615C" w:rsidRDefault="0049615C" w:rsidP="0049615C">
      <w:pPr>
        <w:jc w:val="both"/>
        <w:rPr>
          <w:b/>
          <w:bCs/>
          <w:sz w:val="18"/>
          <w:szCs w:val="18"/>
        </w:rPr>
      </w:pPr>
      <w:r w:rsidRPr="0049615C">
        <w:rPr>
          <w:b/>
          <w:bCs/>
          <w:sz w:val="18"/>
          <w:szCs w:val="18"/>
        </w:rPr>
        <w:drawing>
          <wp:inline distT="0" distB="0" distL="0" distR="0" wp14:anchorId="576D459C" wp14:editId="69AE4467">
            <wp:extent cx="3892750" cy="1473276"/>
            <wp:effectExtent l="0" t="0" r="0" b="0"/>
            <wp:docPr id="177614073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40734" name="Imagen 1" descr="Interfaz de usuario gráfica, Texto, Aplicación&#10;&#10;El contenido generado por IA puede ser incorrecto."/>
                    <pic:cNvPicPr/>
                  </pic:nvPicPr>
                  <pic:blipFill>
                    <a:blip r:embed="rId4"/>
                    <a:stretch>
                      <a:fillRect/>
                    </a:stretch>
                  </pic:blipFill>
                  <pic:spPr>
                    <a:xfrm>
                      <a:off x="0" y="0"/>
                      <a:ext cx="3892750" cy="1473276"/>
                    </a:xfrm>
                    <a:prstGeom prst="rect">
                      <a:avLst/>
                    </a:prstGeom>
                  </pic:spPr>
                </pic:pic>
              </a:graphicData>
            </a:graphic>
          </wp:inline>
        </w:drawing>
      </w:r>
    </w:p>
    <w:p w14:paraId="1397B0A8" w14:textId="77777777" w:rsidR="0049615C" w:rsidRDefault="0049615C" w:rsidP="0049615C">
      <w:pPr>
        <w:jc w:val="both"/>
        <w:rPr>
          <w:sz w:val="18"/>
          <w:szCs w:val="18"/>
        </w:rPr>
      </w:pPr>
    </w:p>
    <w:p w14:paraId="11CE3356" w14:textId="151F509E" w:rsidR="0049615C" w:rsidRDefault="0049615C" w:rsidP="0049615C">
      <w:pPr>
        <w:jc w:val="both"/>
        <w:rPr>
          <w:sz w:val="18"/>
          <w:szCs w:val="18"/>
        </w:rPr>
      </w:pPr>
      <w:r>
        <w:rPr>
          <w:sz w:val="18"/>
          <w:szCs w:val="18"/>
        </w:rPr>
        <w:t>Parametrizaciones:</w:t>
      </w:r>
    </w:p>
    <w:p w14:paraId="632438E5" w14:textId="3E48D0BC" w:rsidR="0049615C" w:rsidRDefault="0049615C" w:rsidP="0049615C">
      <w:pPr>
        <w:jc w:val="both"/>
        <w:rPr>
          <w:sz w:val="18"/>
          <w:szCs w:val="18"/>
        </w:rPr>
      </w:pPr>
      <w:r>
        <w:rPr>
          <w:sz w:val="18"/>
          <w:szCs w:val="18"/>
        </w:rPr>
        <w:t xml:space="preserve">Si la fecha de operaciones es &gt; 01/01/2024 la divisa en EUR y está dentro de las Branch (CE, </w:t>
      </w:r>
      <w:proofErr w:type="gramStart"/>
      <w:r>
        <w:rPr>
          <w:sz w:val="18"/>
          <w:szCs w:val="18"/>
        </w:rPr>
        <w:t>GBP,SLB</w:t>
      </w:r>
      <w:proofErr w:type="gramEnd"/>
      <w:r>
        <w:rPr>
          <w:sz w:val="18"/>
          <w:szCs w:val="18"/>
        </w:rPr>
        <w:t xml:space="preserve">), el motor de cálculo OFSAA Oracle lanza el proceso </w:t>
      </w:r>
      <w:r w:rsidRPr="0049615C">
        <w:rPr>
          <w:sz w:val="18"/>
          <w:szCs w:val="18"/>
        </w:rPr>
        <w:t>FTP_PROC_CA_EUR_CIP_2024</w:t>
      </w:r>
      <w:r>
        <w:rPr>
          <w:sz w:val="18"/>
          <w:szCs w:val="18"/>
        </w:rPr>
        <w:t xml:space="preserve">, donde se utilizará como Base </w:t>
      </w:r>
      <w:proofErr w:type="spellStart"/>
      <w:r>
        <w:rPr>
          <w:sz w:val="18"/>
          <w:szCs w:val="18"/>
        </w:rPr>
        <w:t>Rate</w:t>
      </w:r>
      <w:proofErr w:type="spellEnd"/>
      <w:r>
        <w:rPr>
          <w:sz w:val="18"/>
          <w:szCs w:val="18"/>
        </w:rPr>
        <w:t xml:space="preserve"> 1M, y como </w:t>
      </w:r>
      <w:proofErr w:type="spellStart"/>
      <w:r>
        <w:rPr>
          <w:sz w:val="18"/>
          <w:szCs w:val="18"/>
        </w:rPr>
        <w:t>Liquidity</w:t>
      </w:r>
      <w:proofErr w:type="spellEnd"/>
      <w:r>
        <w:rPr>
          <w:sz w:val="18"/>
          <w:szCs w:val="18"/>
        </w:rPr>
        <w:t xml:space="preserve"> Spread (</w:t>
      </w:r>
      <w:r w:rsidRPr="0049615C">
        <w:rPr>
          <w:sz w:val="18"/>
          <w:szCs w:val="18"/>
        </w:rPr>
        <w:t xml:space="preserve">50% LS 1M (3M </w:t>
      </w:r>
      <w:proofErr w:type="gramStart"/>
      <w:r w:rsidRPr="0049615C">
        <w:rPr>
          <w:sz w:val="18"/>
          <w:szCs w:val="18"/>
        </w:rPr>
        <w:t>Curve)+</w:t>
      </w:r>
      <w:proofErr w:type="gramEnd"/>
      <w:r w:rsidRPr="0049615C">
        <w:rPr>
          <w:sz w:val="18"/>
          <w:szCs w:val="18"/>
        </w:rPr>
        <w:t xml:space="preserve"> 50% BT_CA (1Y </w:t>
      </w:r>
      <w:proofErr w:type="spellStart"/>
      <w:r w:rsidRPr="0049615C">
        <w:rPr>
          <w:sz w:val="18"/>
          <w:szCs w:val="18"/>
        </w:rPr>
        <w:t>Floor</w:t>
      </w:r>
      <w:proofErr w:type="spellEnd"/>
      <w:r w:rsidRPr="0049615C">
        <w:rPr>
          <w:sz w:val="18"/>
          <w:szCs w:val="18"/>
        </w:rPr>
        <w:t>) (3M curve) + BUFFER RECHARGE</w:t>
      </w:r>
      <w:r>
        <w:rPr>
          <w:sz w:val="18"/>
          <w:szCs w:val="18"/>
        </w:rPr>
        <w:t>)</w:t>
      </w:r>
    </w:p>
    <w:p w14:paraId="4ACC9EF0" w14:textId="34E49553" w:rsidR="006852A2" w:rsidRDefault="0049615C" w:rsidP="006852A2">
      <w:pPr>
        <w:jc w:val="both"/>
        <w:rPr>
          <w:sz w:val="18"/>
          <w:szCs w:val="18"/>
        </w:rPr>
      </w:pPr>
      <w:r>
        <w:rPr>
          <w:sz w:val="18"/>
          <w:szCs w:val="18"/>
        </w:rPr>
        <w:t xml:space="preserve">Para el caso </w:t>
      </w:r>
      <w:proofErr w:type="spellStart"/>
      <w:proofErr w:type="gramStart"/>
      <w:r>
        <w:rPr>
          <w:sz w:val="18"/>
          <w:szCs w:val="18"/>
        </w:rPr>
        <w:t>anterior,si</w:t>
      </w:r>
      <w:proofErr w:type="spellEnd"/>
      <w:proofErr w:type="gramEnd"/>
      <w:r>
        <w:rPr>
          <w:sz w:val="18"/>
          <w:szCs w:val="18"/>
        </w:rPr>
        <w:t xml:space="preserve"> la fecha de operación es anterior a </w:t>
      </w:r>
      <w:r>
        <w:rPr>
          <w:sz w:val="18"/>
          <w:szCs w:val="18"/>
        </w:rPr>
        <w:t>01/01/</w:t>
      </w:r>
      <w:proofErr w:type="gramStart"/>
      <w:r>
        <w:rPr>
          <w:sz w:val="18"/>
          <w:szCs w:val="18"/>
        </w:rPr>
        <w:t xml:space="preserve">2024 </w:t>
      </w:r>
      <w:r>
        <w:rPr>
          <w:sz w:val="18"/>
          <w:szCs w:val="18"/>
        </w:rPr>
        <w:t xml:space="preserve"> </w:t>
      </w:r>
      <w:r w:rsidR="006852A2">
        <w:rPr>
          <w:sz w:val="18"/>
          <w:szCs w:val="18"/>
        </w:rPr>
        <w:t>se</w:t>
      </w:r>
      <w:proofErr w:type="gramEnd"/>
      <w:r w:rsidR="006852A2">
        <w:rPr>
          <w:sz w:val="18"/>
          <w:szCs w:val="18"/>
        </w:rPr>
        <w:t xml:space="preserve"> lanzará el proceso </w:t>
      </w:r>
      <w:r w:rsidR="006852A2" w:rsidRPr="006852A2">
        <w:rPr>
          <w:sz w:val="18"/>
          <w:szCs w:val="18"/>
        </w:rPr>
        <w:t>FTP_PROC_LIB_CA_NIFI_EUR_2023</w:t>
      </w:r>
      <w:r w:rsidR="006852A2">
        <w:rPr>
          <w:sz w:val="18"/>
          <w:szCs w:val="18"/>
        </w:rPr>
        <w:t xml:space="preserve"> donde el Base </w:t>
      </w:r>
      <w:proofErr w:type="spellStart"/>
      <w:r w:rsidR="006852A2">
        <w:rPr>
          <w:sz w:val="18"/>
          <w:szCs w:val="18"/>
        </w:rPr>
        <w:t>Rate</w:t>
      </w:r>
      <w:proofErr w:type="spellEnd"/>
      <w:r w:rsidR="006852A2">
        <w:rPr>
          <w:sz w:val="18"/>
          <w:szCs w:val="18"/>
        </w:rPr>
        <w:t xml:space="preserve"> será 1M y el </w:t>
      </w:r>
      <w:proofErr w:type="spellStart"/>
      <w:r w:rsidR="006852A2">
        <w:rPr>
          <w:sz w:val="18"/>
          <w:szCs w:val="18"/>
        </w:rPr>
        <w:t>liquidity</w:t>
      </w:r>
      <w:proofErr w:type="spellEnd"/>
      <w:r w:rsidR="006852A2">
        <w:rPr>
          <w:sz w:val="18"/>
          <w:szCs w:val="18"/>
        </w:rPr>
        <w:t xml:space="preserve"> Spread 75% 1M + 25% 2Y.</w:t>
      </w:r>
    </w:p>
    <w:p w14:paraId="5474EBD5" w14:textId="3BB690A6" w:rsidR="006852A2" w:rsidRDefault="006852A2" w:rsidP="006852A2">
      <w:pPr>
        <w:jc w:val="both"/>
        <w:rPr>
          <w:sz w:val="18"/>
          <w:szCs w:val="18"/>
        </w:rPr>
      </w:pPr>
      <w:r>
        <w:rPr>
          <w:sz w:val="18"/>
          <w:szCs w:val="18"/>
        </w:rPr>
        <w:t xml:space="preserve">Para el resto de </w:t>
      </w:r>
      <w:proofErr w:type="gramStart"/>
      <w:r>
        <w:rPr>
          <w:sz w:val="18"/>
          <w:szCs w:val="18"/>
        </w:rPr>
        <w:t>casuísticas</w:t>
      </w:r>
      <w:proofErr w:type="gramEnd"/>
      <w:r>
        <w:rPr>
          <w:sz w:val="18"/>
          <w:szCs w:val="18"/>
        </w:rPr>
        <w:t xml:space="preserve"> donde la Branch no sea (</w:t>
      </w:r>
      <w:proofErr w:type="gramStart"/>
      <w:r>
        <w:rPr>
          <w:sz w:val="18"/>
          <w:szCs w:val="18"/>
        </w:rPr>
        <w:t>CE,GBP</w:t>
      </w:r>
      <w:proofErr w:type="gramEnd"/>
      <w:r>
        <w:rPr>
          <w:sz w:val="18"/>
          <w:szCs w:val="18"/>
        </w:rPr>
        <w:t xml:space="preserve">,SLB) y la divisa </w:t>
      </w:r>
      <w:proofErr w:type="gramStart"/>
      <w:r>
        <w:rPr>
          <w:sz w:val="18"/>
          <w:szCs w:val="18"/>
        </w:rPr>
        <w:t xml:space="preserve">EUR,   </w:t>
      </w:r>
      <w:proofErr w:type="gramEnd"/>
      <w:r>
        <w:rPr>
          <w:sz w:val="18"/>
          <w:szCs w:val="18"/>
        </w:rPr>
        <w:t xml:space="preserve">se debe fijar en que producto contable se está calculando la TTI </w:t>
      </w:r>
    </w:p>
    <w:p w14:paraId="7693D17C" w14:textId="3F144D3A" w:rsidR="006852A2" w:rsidRPr="006852A2" w:rsidRDefault="006852A2" w:rsidP="006852A2">
      <w:pPr>
        <w:jc w:val="both"/>
        <w:rPr>
          <w:rFonts w:ascii="Calibri" w:eastAsia="Times New Roman" w:hAnsi="Calibri" w:cs="Calibri"/>
          <w:color w:val="000000"/>
          <w:kern w:val="0"/>
          <w:sz w:val="22"/>
          <w:szCs w:val="22"/>
          <w14:ligatures w14:val="none"/>
        </w:rPr>
      </w:pPr>
      <w:r w:rsidRPr="006852A2">
        <w:rPr>
          <w:rFonts w:ascii="Calibri" w:eastAsia="Times New Roman" w:hAnsi="Calibri" w:cs="Calibri"/>
          <w:color w:val="000000"/>
          <w:kern w:val="0"/>
          <w:sz w:val="22"/>
          <w:szCs w:val="22"/>
          <w14:ligatures w14:val="none"/>
        </w:rPr>
        <w:drawing>
          <wp:inline distT="0" distB="0" distL="0" distR="0" wp14:anchorId="08E391A0" wp14:editId="72BFB372">
            <wp:extent cx="5400040" cy="443865"/>
            <wp:effectExtent l="0" t="0" r="0" b="0"/>
            <wp:docPr id="1393622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22871" name=""/>
                    <pic:cNvPicPr/>
                  </pic:nvPicPr>
                  <pic:blipFill>
                    <a:blip r:embed="rId5"/>
                    <a:stretch>
                      <a:fillRect/>
                    </a:stretch>
                  </pic:blipFill>
                  <pic:spPr>
                    <a:xfrm>
                      <a:off x="0" y="0"/>
                      <a:ext cx="5400040" cy="443865"/>
                    </a:xfrm>
                    <a:prstGeom prst="rect">
                      <a:avLst/>
                    </a:prstGeom>
                  </pic:spPr>
                </pic:pic>
              </a:graphicData>
            </a:graphic>
          </wp:inline>
        </w:drawing>
      </w:r>
    </w:p>
    <w:p w14:paraId="1534575B" w14:textId="27A8DE14" w:rsidR="0049615C" w:rsidRPr="0049615C" w:rsidRDefault="006852A2" w:rsidP="0049615C">
      <w:pPr>
        <w:jc w:val="both"/>
        <w:rPr>
          <w:sz w:val="18"/>
          <w:szCs w:val="18"/>
        </w:rPr>
      </w:pPr>
      <w:proofErr w:type="spellStart"/>
      <w:r>
        <w:rPr>
          <w:sz w:val="18"/>
          <w:szCs w:val="18"/>
        </w:rPr>
        <w:t>Depediendo</w:t>
      </w:r>
      <w:proofErr w:type="spellEnd"/>
      <w:r>
        <w:rPr>
          <w:sz w:val="18"/>
          <w:szCs w:val="18"/>
        </w:rPr>
        <w:t xml:space="preserve"> del producto se lanzará un proceso u otro, </w:t>
      </w:r>
      <w:proofErr w:type="spellStart"/>
      <w:r>
        <w:rPr>
          <w:sz w:val="18"/>
          <w:szCs w:val="18"/>
        </w:rPr>
        <w:t>dode</w:t>
      </w:r>
      <w:proofErr w:type="spellEnd"/>
      <w:r>
        <w:rPr>
          <w:sz w:val="18"/>
          <w:szCs w:val="18"/>
        </w:rPr>
        <w:t xml:space="preserve"> se determina el Base </w:t>
      </w:r>
      <w:proofErr w:type="spellStart"/>
      <w:r>
        <w:rPr>
          <w:sz w:val="18"/>
          <w:szCs w:val="18"/>
        </w:rPr>
        <w:t>Rate</w:t>
      </w:r>
      <w:proofErr w:type="spellEnd"/>
      <w:r>
        <w:rPr>
          <w:sz w:val="18"/>
          <w:szCs w:val="18"/>
        </w:rPr>
        <w:t xml:space="preserve"> y el </w:t>
      </w:r>
      <w:proofErr w:type="spellStart"/>
      <w:r>
        <w:rPr>
          <w:sz w:val="18"/>
          <w:szCs w:val="18"/>
        </w:rPr>
        <w:t>Liquidity</w:t>
      </w:r>
      <w:proofErr w:type="spellEnd"/>
      <w:r>
        <w:rPr>
          <w:sz w:val="18"/>
          <w:szCs w:val="18"/>
        </w:rPr>
        <w:t xml:space="preserve"> Spread específico.</w:t>
      </w:r>
    </w:p>
    <w:p w14:paraId="03112FD9" w14:textId="59A0C18C" w:rsidR="0049615C" w:rsidRDefault="0049615C" w:rsidP="0049615C">
      <w:pPr>
        <w:jc w:val="both"/>
        <w:rPr>
          <w:sz w:val="18"/>
          <w:szCs w:val="18"/>
        </w:rPr>
      </w:pPr>
    </w:p>
    <w:p w14:paraId="40800F6F" w14:textId="1D1FFE63" w:rsidR="00BA7F49" w:rsidRDefault="00BA7F49" w:rsidP="0049615C">
      <w:pPr>
        <w:jc w:val="both"/>
        <w:rPr>
          <w:b/>
          <w:bCs/>
          <w:sz w:val="18"/>
          <w:szCs w:val="18"/>
        </w:rPr>
      </w:pPr>
      <w:proofErr w:type="spellStart"/>
      <w:r w:rsidRPr="00BA7F49">
        <w:rPr>
          <w:b/>
          <w:bCs/>
          <w:sz w:val="18"/>
          <w:szCs w:val="18"/>
        </w:rPr>
        <w:t>Eligibilidad</w:t>
      </w:r>
      <w:proofErr w:type="spellEnd"/>
      <w:r w:rsidRPr="00BA7F49">
        <w:rPr>
          <w:b/>
          <w:bCs/>
          <w:sz w:val="18"/>
          <w:szCs w:val="18"/>
        </w:rPr>
        <w:t xml:space="preserve"> de la curva de cálculo</w:t>
      </w:r>
      <w:r>
        <w:rPr>
          <w:b/>
          <w:bCs/>
          <w:sz w:val="18"/>
          <w:szCs w:val="18"/>
        </w:rPr>
        <w:t xml:space="preserve"> (IBOR)</w:t>
      </w:r>
    </w:p>
    <w:p w14:paraId="7CC87DF2" w14:textId="3F3E574C" w:rsidR="00BA7F49" w:rsidRDefault="00BA7F49" w:rsidP="0049615C">
      <w:pPr>
        <w:jc w:val="both"/>
        <w:rPr>
          <w:sz w:val="18"/>
          <w:szCs w:val="18"/>
        </w:rPr>
      </w:pPr>
      <w:r>
        <w:rPr>
          <w:sz w:val="18"/>
          <w:szCs w:val="18"/>
        </w:rPr>
        <w:t xml:space="preserve">Dependerá también de la tipología de producto, y es necesario elegir la curva de tipos para que el proceso detallado anteriormente de cálculo elija una curva u </w:t>
      </w:r>
      <w:proofErr w:type="gramStart"/>
      <w:r>
        <w:rPr>
          <w:sz w:val="18"/>
          <w:szCs w:val="18"/>
        </w:rPr>
        <w:t>otra.</w:t>
      </w:r>
      <w:r w:rsidR="00963C34">
        <w:rPr>
          <w:sz w:val="18"/>
          <w:szCs w:val="18"/>
        </w:rPr>
        <w:t>(</w:t>
      </w:r>
      <w:proofErr w:type="gramEnd"/>
      <w:r w:rsidR="00963C34">
        <w:rPr>
          <w:sz w:val="18"/>
          <w:szCs w:val="18"/>
        </w:rPr>
        <w:t xml:space="preserve"> para el caso anterior nos fijaremos en la curva de los productos de </w:t>
      </w:r>
      <w:proofErr w:type="spellStart"/>
      <w:r w:rsidR="00963C34" w:rsidRPr="00963C34">
        <w:rPr>
          <w:b/>
          <w:bCs/>
          <w:sz w:val="18"/>
          <w:szCs w:val="18"/>
        </w:rPr>
        <w:t>Current</w:t>
      </w:r>
      <w:proofErr w:type="spellEnd"/>
      <w:r w:rsidR="00963C34" w:rsidRPr="00963C34">
        <w:rPr>
          <w:b/>
          <w:bCs/>
          <w:sz w:val="18"/>
          <w:szCs w:val="18"/>
        </w:rPr>
        <w:t xml:space="preserve"> </w:t>
      </w:r>
      <w:proofErr w:type="spellStart"/>
      <w:r w:rsidR="00963C34" w:rsidRPr="00963C34">
        <w:rPr>
          <w:b/>
          <w:bCs/>
          <w:sz w:val="18"/>
          <w:szCs w:val="18"/>
        </w:rPr>
        <w:t>Account</w:t>
      </w:r>
      <w:proofErr w:type="spellEnd"/>
    </w:p>
    <w:p w14:paraId="7CB34699" w14:textId="359EE2D2" w:rsidR="00BA7F49" w:rsidRPr="00963C34" w:rsidRDefault="00BA7F49" w:rsidP="00BA7F49">
      <w:pPr>
        <w:jc w:val="both"/>
        <w:rPr>
          <w:sz w:val="18"/>
          <w:szCs w:val="18"/>
        </w:rPr>
      </w:pPr>
      <w:r>
        <w:rPr>
          <w:sz w:val="18"/>
          <w:szCs w:val="18"/>
        </w:rPr>
        <w:t>Según el producto;</w:t>
      </w:r>
    </w:p>
    <w:p w14:paraId="48A26D87" w14:textId="77777777" w:rsidR="00BA7F49" w:rsidRPr="00BA7F49" w:rsidRDefault="00BA7F49" w:rsidP="00BA7F49">
      <w:pPr>
        <w:jc w:val="both"/>
        <w:rPr>
          <w:sz w:val="18"/>
          <w:szCs w:val="18"/>
          <w:lang w:val="en-US"/>
        </w:rPr>
      </w:pPr>
    </w:p>
    <w:p w14:paraId="30EDC9D0" w14:textId="77777777" w:rsidR="00963C34" w:rsidRDefault="00BA7F49" w:rsidP="00BA7F49">
      <w:pPr>
        <w:jc w:val="both"/>
        <w:rPr>
          <w:b/>
          <w:bCs/>
          <w:sz w:val="18"/>
          <w:szCs w:val="18"/>
          <w:lang w:val="en-US"/>
        </w:rPr>
      </w:pPr>
      <w:r w:rsidRPr="00963C34">
        <w:rPr>
          <w:b/>
          <w:bCs/>
          <w:sz w:val="18"/>
          <w:szCs w:val="18"/>
          <w:lang w:val="en-US"/>
        </w:rPr>
        <w:t>Current Accounts</w:t>
      </w:r>
      <w:r w:rsidRPr="00963C34">
        <w:rPr>
          <w:b/>
          <w:bCs/>
          <w:sz w:val="18"/>
          <w:szCs w:val="18"/>
          <w:lang w:val="en-US"/>
        </w:rPr>
        <w:tab/>
      </w:r>
    </w:p>
    <w:p w14:paraId="4086B36E" w14:textId="130DBE5F" w:rsidR="00BA7F49" w:rsidRPr="00963C34" w:rsidRDefault="00963C34" w:rsidP="00BA7F49">
      <w:pPr>
        <w:jc w:val="both"/>
        <w:rPr>
          <w:sz w:val="18"/>
          <w:szCs w:val="18"/>
          <w:lang w:val="en-US"/>
        </w:rPr>
      </w:pPr>
      <w:r>
        <w:rPr>
          <w:sz w:val="18"/>
          <w:szCs w:val="18"/>
          <w:lang w:val="en-US"/>
        </w:rPr>
        <w:t>T</w:t>
      </w:r>
      <w:r w:rsidRPr="00BA7F49">
        <w:rPr>
          <w:sz w:val="18"/>
          <w:szCs w:val="18"/>
          <w:lang w:val="en-US"/>
        </w:rPr>
        <w:t>he liquidity rate will be calculated using SONIA/SOFR/SARON/TONAR/CORRA curves, according to the methodology</w:t>
      </w:r>
      <w:r w:rsidR="00BA7F49" w:rsidRPr="00963C34">
        <w:rPr>
          <w:b/>
          <w:bCs/>
          <w:sz w:val="18"/>
          <w:szCs w:val="18"/>
          <w:lang w:val="en-US"/>
        </w:rPr>
        <w:t xml:space="preserve"> </w:t>
      </w:r>
      <w:r w:rsidR="00BA7F49" w:rsidRPr="00963C34">
        <w:rPr>
          <w:b/>
          <w:bCs/>
          <w:sz w:val="18"/>
          <w:szCs w:val="18"/>
          <w:lang w:val="en-US"/>
        </w:rPr>
        <w:tab/>
        <w:t xml:space="preserve"> </w:t>
      </w:r>
      <w:r w:rsidR="00BA7F49" w:rsidRPr="00963C34">
        <w:rPr>
          <w:b/>
          <w:bCs/>
          <w:sz w:val="18"/>
          <w:szCs w:val="18"/>
          <w:lang w:val="en-US"/>
        </w:rPr>
        <w:tab/>
        <w:t xml:space="preserve"> </w:t>
      </w:r>
      <w:r w:rsidR="00BA7F49" w:rsidRPr="00963C34">
        <w:rPr>
          <w:b/>
          <w:bCs/>
          <w:sz w:val="18"/>
          <w:szCs w:val="18"/>
          <w:lang w:val="en-US"/>
        </w:rPr>
        <w:tab/>
        <w:t xml:space="preserve"> </w:t>
      </w:r>
      <w:r w:rsidR="00BA7F49" w:rsidRPr="00963C34">
        <w:rPr>
          <w:b/>
          <w:bCs/>
          <w:sz w:val="18"/>
          <w:szCs w:val="18"/>
          <w:lang w:val="en-US"/>
        </w:rPr>
        <w:tab/>
        <w:t xml:space="preserve"> </w:t>
      </w:r>
      <w:r w:rsidR="00BA7F49" w:rsidRPr="00963C34">
        <w:rPr>
          <w:b/>
          <w:bCs/>
          <w:sz w:val="18"/>
          <w:szCs w:val="18"/>
          <w:lang w:val="en-US"/>
        </w:rPr>
        <w:tab/>
        <w:t xml:space="preserve"> </w:t>
      </w:r>
      <w:r w:rsidR="00BA7F49" w:rsidRPr="00963C34">
        <w:rPr>
          <w:b/>
          <w:bCs/>
          <w:sz w:val="18"/>
          <w:szCs w:val="18"/>
          <w:lang w:val="en-US"/>
        </w:rPr>
        <w:tab/>
        <w:t xml:space="preserve"> </w:t>
      </w:r>
      <w:r w:rsidR="00BA7F49" w:rsidRPr="00963C34">
        <w:rPr>
          <w:b/>
          <w:bCs/>
          <w:sz w:val="18"/>
          <w:szCs w:val="18"/>
          <w:lang w:val="en-US"/>
        </w:rPr>
        <w:tab/>
        <w:t xml:space="preserve"> </w:t>
      </w:r>
      <w:r w:rsidR="00BA7F49" w:rsidRPr="00963C34">
        <w:rPr>
          <w:b/>
          <w:bCs/>
          <w:sz w:val="18"/>
          <w:szCs w:val="18"/>
          <w:lang w:val="en-US"/>
        </w:rPr>
        <w:tab/>
        <w:t xml:space="preserve"> </w:t>
      </w:r>
      <w:r w:rsidR="00BA7F49" w:rsidRPr="00963C34">
        <w:rPr>
          <w:b/>
          <w:bCs/>
          <w:sz w:val="18"/>
          <w:szCs w:val="18"/>
          <w:lang w:val="en-US"/>
        </w:rPr>
        <w:tab/>
        <w:t xml:space="preserve"> </w:t>
      </w:r>
    </w:p>
    <w:p w14:paraId="0A9E529D" w14:textId="135D4667" w:rsidR="00BA7F49" w:rsidRPr="00BA7F49" w:rsidRDefault="00BA7F49" w:rsidP="00BA7F49">
      <w:pPr>
        <w:jc w:val="both"/>
        <w:rPr>
          <w:sz w:val="18"/>
          <w:szCs w:val="18"/>
          <w:lang w:val="en-US"/>
        </w:rPr>
      </w:pPr>
      <w:r w:rsidRPr="00BA7F49">
        <w:rPr>
          <w:sz w:val="18"/>
          <w:szCs w:val="18"/>
          <w:lang w:val="en-US"/>
        </w:rPr>
        <w:lastRenderedPageBreak/>
        <w:t xml:space="preserve"> Currency USD:</w:t>
      </w:r>
      <w:r w:rsidR="00963C34" w:rsidRPr="00963C34">
        <w:rPr>
          <w:sz w:val="18"/>
          <w:szCs w:val="18"/>
          <w:lang w:val="en-US"/>
        </w:rPr>
        <w:t xml:space="preserve"> </w:t>
      </w:r>
      <w:r w:rsidR="00963C34" w:rsidRPr="00BA7F49">
        <w:rPr>
          <w:sz w:val="18"/>
          <w:szCs w:val="18"/>
          <w:lang w:val="en-US"/>
        </w:rPr>
        <w:t>SONIA/SOFR</w:t>
      </w:r>
      <w:r w:rsidRPr="00BA7F49">
        <w:rPr>
          <w:sz w:val="18"/>
          <w:szCs w:val="18"/>
          <w:lang w:val="en-US"/>
        </w:rPr>
        <w:t xml:space="preserve"> Executions starting from June 1, 2022</w:t>
      </w:r>
      <w:r w:rsidRPr="00BA7F49">
        <w:rPr>
          <w:sz w:val="18"/>
          <w:szCs w:val="18"/>
          <w:lang w:val="en-US"/>
        </w:rPr>
        <w:tab/>
        <w:t xml:space="preserve"> </w:t>
      </w:r>
      <w:r w:rsidRPr="00BA7F49">
        <w:rPr>
          <w:sz w:val="18"/>
          <w:szCs w:val="18"/>
          <w:lang w:val="en-US"/>
        </w:rPr>
        <w:tab/>
        <w:t xml:space="preserve"> </w:t>
      </w:r>
      <w:r w:rsidRPr="00BA7F49">
        <w:rPr>
          <w:sz w:val="18"/>
          <w:szCs w:val="18"/>
          <w:lang w:val="en-US"/>
        </w:rPr>
        <w:tab/>
        <w:t xml:space="preserve"> </w:t>
      </w:r>
      <w:r w:rsidRPr="00BA7F49">
        <w:rPr>
          <w:sz w:val="18"/>
          <w:szCs w:val="18"/>
          <w:lang w:val="en-US"/>
        </w:rPr>
        <w:tab/>
        <w:t xml:space="preserve">  </w:t>
      </w:r>
      <w:r w:rsidRPr="00BA7F49">
        <w:rPr>
          <w:sz w:val="18"/>
          <w:szCs w:val="18"/>
          <w:lang w:val="en-US"/>
        </w:rPr>
        <w:tab/>
        <w:t xml:space="preserve">  </w:t>
      </w:r>
    </w:p>
    <w:p w14:paraId="76D407BB" w14:textId="3F2E05AD" w:rsidR="00BA7F49" w:rsidRPr="00BA7F49" w:rsidRDefault="00BA7F49" w:rsidP="00BA7F49">
      <w:pPr>
        <w:jc w:val="both"/>
        <w:rPr>
          <w:sz w:val="18"/>
          <w:szCs w:val="18"/>
          <w:lang w:val="en-US"/>
        </w:rPr>
      </w:pPr>
      <w:r w:rsidRPr="00BA7F49">
        <w:rPr>
          <w:sz w:val="18"/>
          <w:szCs w:val="18"/>
          <w:lang w:val="en-US"/>
        </w:rPr>
        <w:t xml:space="preserve"> Currency GBP: </w:t>
      </w:r>
      <w:r w:rsidR="00963C34" w:rsidRPr="00BA7F49">
        <w:rPr>
          <w:sz w:val="18"/>
          <w:szCs w:val="18"/>
          <w:lang w:val="en-US"/>
        </w:rPr>
        <w:t xml:space="preserve">SONIA/SOFR </w:t>
      </w:r>
      <w:r w:rsidRPr="00BA7F49">
        <w:rPr>
          <w:sz w:val="18"/>
          <w:szCs w:val="18"/>
          <w:lang w:val="en-US"/>
        </w:rPr>
        <w:t>Executions starting from January 1, 2022</w:t>
      </w:r>
      <w:r w:rsidRPr="00BA7F49">
        <w:rPr>
          <w:sz w:val="18"/>
          <w:szCs w:val="18"/>
          <w:lang w:val="en-US"/>
        </w:rPr>
        <w:tab/>
        <w:t xml:space="preserve"> </w:t>
      </w:r>
      <w:r w:rsidRPr="00BA7F49">
        <w:rPr>
          <w:sz w:val="18"/>
          <w:szCs w:val="18"/>
          <w:lang w:val="en-US"/>
        </w:rPr>
        <w:tab/>
        <w:t xml:space="preserve"> </w:t>
      </w:r>
      <w:r w:rsidRPr="00BA7F49">
        <w:rPr>
          <w:sz w:val="18"/>
          <w:szCs w:val="18"/>
          <w:lang w:val="en-US"/>
        </w:rPr>
        <w:tab/>
        <w:t xml:space="preserve"> </w:t>
      </w:r>
      <w:r w:rsidRPr="00BA7F49">
        <w:rPr>
          <w:sz w:val="18"/>
          <w:szCs w:val="18"/>
          <w:lang w:val="en-US"/>
        </w:rPr>
        <w:tab/>
        <w:t xml:space="preserve"> </w:t>
      </w:r>
      <w:r w:rsidRPr="00BA7F49">
        <w:rPr>
          <w:sz w:val="18"/>
          <w:szCs w:val="18"/>
          <w:lang w:val="en-US"/>
        </w:rPr>
        <w:tab/>
        <w:t xml:space="preserve"> </w:t>
      </w:r>
    </w:p>
    <w:p w14:paraId="3F3981B3" w14:textId="08B93505" w:rsidR="00BA7F49" w:rsidRPr="00BA7F49" w:rsidRDefault="00BA7F49" w:rsidP="00BA7F49">
      <w:pPr>
        <w:jc w:val="both"/>
        <w:rPr>
          <w:sz w:val="18"/>
          <w:szCs w:val="18"/>
          <w:lang w:val="en-US"/>
        </w:rPr>
      </w:pPr>
      <w:r w:rsidRPr="00BA7F49">
        <w:rPr>
          <w:sz w:val="18"/>
          <w:szCs w:val="18"/>
          <w:lang w:val="en-US"/>
        </w:rPr>
        <w:t xml:space="preserve"> Currency JPY, CAD, CHF: </w:t>
      </w:r>
      <w:r w:rsidR="00963C34" w:rsidRPr="00BA7F49">
        <w:rPr>
          <w:sz w:val="18"/>
          <w:szCs w:val="18"/>
          <w:lang w:val="en-US"/>
        </w:rPr>
        <w:t>SONIA/</w:t>
      </w:r>
      <w:proofErr w:type="gramStart"/>
      <w:r w:rsidR="00963C34" w:rsidRPr="00BA7F49">
        <w:rPr>
          <w:sz w:val="18"/>
          <w:szCs w:val="18"/>
          <w:lang w:val="en-US"/>
        </w:rPr>
        <w:t xml:space="preserve">SOFR </w:t>
      </w:r>
      <w:r w:rsidR="00963C34">
        <w:rPr>
          <w:sz w:val="18"/>
          <w:szCs w:val="18"/>
          <w:lang w:val="en-US"/>
        </w:rPr>
        <w:t xml:space="preserve"> </w:t>
      </w:r>
      <w:r w:rsidRPr="00BA7F49">
        <w:rPr>
          <w:sz w:val="18"/>
          <w:szCs w:val="18"/>
          <w:lang w:val="en-US"/>
        </w:rPr>
        <w:t>Applies</w:t>
      </w:r>
      <w:proofErr w:type="gramEnd"/>
      <w:r w:rsidRPr="00BA7F49">
        <w:rPr>
          <w:sz w:val="18"/>
          <w:szCs w:val="18"/>
          <w:lang w:val="en-US"/>
        </w:rPr>
        <w:t xml:space="preserve"> from executions in Jan 2024</w:t>
      </w:r>
      <w:r w:rsidRPr="00BA7F49">
        <w:rPr>
          <w:sz w:val="18"/>
          <w:szCs w:val="18"/>
          <w:lang w:val="en-US"/>
        </w:rPr>
        <w:tab/>
        <w:t xml:space="preserve"> </w:t>
      </w:r>
      <w:r w:rsidRPr="00BA7F49">
        <w:rPr>
          <w:sz w:val="18"/>
          <w:szCs w:val="18"/>
          <w:lang w:val="en-US"/>
        </w:rPr>
        <w:tab/>
        <w:t xml:space="preserve"> </w:t>
      </w:r>
      <w:r w:rsidRPr="00BA7F49">
        <w:rPr>
          <w:sz w:val="18"/>
          <w:szCs w:val="18"/>
          <w:lang w:val="en-US"/>
        </w:rPr>
        <w:tab/>
        <w:t xml:space="preserve"> </w:t>
      </w:r>
      <w:r w:rsidRPr="00BA7F49">
        <w:rPr>
          <w:sz w:val="18"/>
          <w:szCs w:val="18"/>
          <w:lang w:val="en-US"/>
        </w:rPr>
        <w:tab/>
        <w:t xml:space="preserve"> </w:t>
      </w:r>
      <w:r w:rsidRPr="00BA7F49">
        <w:rPr>
          <w:sz w:val="18"/>
          <w:szCs w:val="18"/>
          <w:lang w:val="en-US"/>
        </w:rPr>
        <w:tab/>
        <w:t xml:space="preserve"> </w:t>
      </w:r>
      <w:r w:rsidRPr="00BA7F49">
        <w:rPr>
          <w:sz w:val="18"/>
          <w:szCs w:val="18"/>
          <w:lang w:val="en-US"/>
        </w:rPr>
        <w:tab/>
        <w:t xml:space="preserve"> </w:t>
      </w:r>
      <w:r w:rsidRPr="00BA7F49">
        <w:rPr>
          <w:sz w:val="18"/>
          <w:szCs w:val="18"/>
          <w:lang w:val="en-US"/>
        </w:rPr>
        <w:tab/>
        <w:t xml:space="preserve"> </w:t>
      </w:r>
    </w:p>
    <w:p w14:paraId="1C31981B" w14:textId="77777777" w:rsidR="00BA7F49" w:rsidRPr="00BA7F49" w:rsidRDefault="00BA7F49" w:rsidP="00BA7F49">
      <w:pPr>
        <w:jc w:val="both"/>
        <w:rPr>
          <w:sz w:val="18"/>
          <w:szCs w:val="18"/>
          <w:lang w:val="en-US"/>
        </w:rPr>
      </w:pPr>
      <w:r w:rsidRPr="00BA7F49">
        <w:rPr>
          <w:sz w:val="18"/>
          <w:szCs w:val="18"/>
          <w:lang w:val="en-US"/>
        </w:rPr>
        <w:t xml:space="preserve"> FMIS calculates Base rate and liquidity according to the methodology</w:t>
      </w:r>
      <w:r w:rsidRPr="00BA7F49">
        <w:rPr>
          <w:sz w:val="18"/>
          <w:szCs w:val="18"/>
          <w:lang w:val="en-US"/>
        </w:rPr>
        <w:tab/>
        <w:t xml:space="preserve"> </w:t>
      </w:r>
      <w:r w:rsidRPr="00BA7F49">
        <w:rPr>
          <w:sz w:val="18"/>
          <w:szCs w:val="18"/>
          <w:lang w:val="en-US"/>
        </w:rPr>
        <w:tab/>
        <w:t xml:space="preserve"> </w:t>
      </w:r>
      <w:r w:rsidRPr="00BA7F49">
        <w:rPr>
          <w:sz w:val="18"/>
          <w:szCs w:val="18"/>
          <w:lang w:val="en-US"/>
        </w:rPr>
        <w:tab/>
        <w:t xml:space="preserve"> </w:t>
      </w:r>
      <w:r w:rsidRPr="00BA7F49">
        <w:rPr>
          <w:sz w:val="18"/>
          <w:szCs w:val="18"/>
          <w:lang w:val="en-US"/>
        </w:rPr>
        <w:tab/>
        <w:t xml:space="preserve"> </w:t>
      </w:r>
      <w:r w:rsidRPr="00BA7F49">
        <w:rPr>
          <w:sz w:val="18"/>
          <w:szCs w:val="18"/>
          <w:lang w:val="en-US"/>
        </w:rPr>
        <w:tab/>
        <w:t xml:space="preserve"> </w:t>
      </w:r>
      <w:r w:rsidRPr="00BA7F49">
        <w:rPr>
          <w:sz w:val="18"/>
          <w:szCs w:val="18"/>
          <w:lang w:val="en-US"/>
        </w:rPr>
        <w:tab/>
        <w:t xml:space="preserve"> </w:t>
      </w:r>
      <w:r w:rsidRPr="00BA7F49">
        <w:rPr>
          <w:sz w:val="18"/>
          <w:szCs w:val="18"/>
          <w:lang w:val="en-US"/>
        </w:rPr>
        <w:tab/>
        <w:t xml:space="preserve"> </w:t>
      </w:r>
    </w:p>
    <w:p w14:paraId="3D06BAFF" w14:textId="2B706CE1" w:rsidR="00BA7F49" w:rsidRPr="00BA7F49" w:rsidRDefault="00BA7F49" w:rsidP="00BA7F49">
      <w:pPr>
        <w:jc w:val="both"/>
        <w:rPr>
          <w:sz w:val="18"/>
          <w:szCs w:val="18"/>
          <w:lang w:val="en-US"/>
        </w:rPr>
      </w:pPr>
      <w:r w:rsidRPr="00BA7F49">
        <w:rPr>
          <w:sz w:val="18"/>
          <w:szCs w:val="18"/>
          <w:lang w:val="en-US"/>
        </w:rPr>
        <w:tab/>
        <w:t xml:space="preserve"> </w:t>
      </w:r>
      <w:r w:rsidRPr="00BA7F49">
        <w:rPr>
          <w:sz w:val="18"/>
          <w:szCs w:val="18"/>
          <w:lang w:val="en-US"/>
        </w:rPr>
        <w:tab/>
        <w:t xml:space="preserve"> </w:t>
      </w:r>
      <w:r w:rsidRPr="00BA7F49">
        <w:rPr>
          <w:sz w:val="18"/>
          <w:szCs w:val="18"/>
          <w:lang w:val="en-US"/>
        </w:rPr>
        <w:tab/>
        <w:t xml:space="preserve"> </w:t>
      </w:r>
      <w:r w:rsidRPr="00BA7F49">
        <w:rPr>
          <w:sz w:val="18"/>
          <w:szCs w:val="18"/>
          <w:lang w:val="en-US"/>
        </w:rPr>
        <w:tab/>
        <w:t xml:space="preserve"> </w:t>
      </w:r>
      <w:r w:rsidRPr="00BA7F49">
        <w:rPr>
          <w:sz w:val="18"/>
          <w:szCs w:val="18"/>
          <w:lang w:val="en-US"/>
        </w:rPr>
        <w:tab/>
        <w:t xml:space="preserve"> </w:t>
      </w:r>
      <w:r w:rsidRPr="00BA7F49">
        <w:rPr>
          <w:sz w:val="18"/>
          <w:szCs w:val="18"/>
          <w:lang w:val="en-US"/>
        </w:rPr>
        <w:tab/>
        <w:t xml:space="preserve"> </w:t>
      </w:r>
      <w:r w:rsidRPr="00BA7F49">
        <w:rPr>
          <w:sz w:val="18"/>
          <w:szCs w:val="18"/>
          <w:lang w:val="en-US"/>
        </w:rPr>
        <w:tab/>
        <w:t xml:space="preserve"> </w:t>
      </w:r>
      <w:r w:rsidRPr="00BA7F49">
        <w:rPr>
          <w:sz w:val="18"/>
          <w:szCs w:val="18"/>
          <w:lang w:val="en-US"/>
        </w:rPr>
        <w:tab/>
        <w:t xml:space="preserve"> </w:t>
      </w:r>
      <w:r w:rsidRPr="00BA7F49">
        <w:rPr>
          <w:sz w:val="18"/>
          <w:szCs w:val="18"/>
          <w:lang w:val="en-US"/>
        </w:rPr>
        <w:tab/>
      </w:r>
    </w:p>
    <w:tbl>
      <w:tblPr>
        <w:tblpPr w:leftFromText="141" w:rightFromText="141" w:vertAnchor="text" w:horzAnchor="page" w:tblpX="1" w:tblpY="282"/>
        <w:tblW w:w="16530" w:type="dxa"/>
        <w:tblCellMar>
          <w:left w:w="70" w:type="dxa"/>
          <w:right w:w="70" w:type="dxa"/>
        </w:tblCellMar>
        <w:tblLook w:val="04A0" w:firstRow="1" w:lastRow="0" w:firstColumn="1" w:lastColumn="0" w:noHBand="0" w:noVBand="1"/>
      </w:tblPr>
      <w:tblGrid>
        <w:gridCol w:w="1216"/>
        <w:gridCol w:w="1765"/>
        <w:gridCol w:w="1765"/>
        <w:gridCol w:w="1765"/>
        <w:gridCol w:w="1765"/>
        <w:gridCol w:w="1695"/>
        <w:gridCol w:w="1695"/>
        <w:gridCol w:w="1216"/>
        <w:gridCol w:w="1216"/>
        <w:gridCol w:w="1216"/>
        <w:gridCol w:w="1216"/>
      </w:tblGrid>
      <w:tr w:rsidR="00BA7F49" w:rsidRPr="00BA7F49" w14:paraId="55998FF3" w14:textId="77777777" w:rsidTr="00BA7F49">
        <w:trPr>
          <w:trHeight w:val="290"/>
        </w:trPr>
        <w:tc>
          <w:tcPr>
            <w:tcW w:w="1216" w:type="dxa"/>
            <w:tcBorders>
              <w:top w:val="nil"/>
              <w:left w:val="nil"/>
              <w:bottom w:val="nil"/>
              <w:right w:val="nil"/>
            </w:tcBorders>
            <w:shd w:val="clear" w:color="000000" w:fill="FFFFFF"/>
            <w:noWrap/>
            <w:vAlign w:val="bottom"/>
            <w:hideMark/>
          </w:tcPr>
          <w:p w14:paraId="1DB74964" w14:textId="77777777" w:rsidR="00BA7F49" w:rsidRPr="00BA7F49" w:rsidRDefault="00BA7F49" w:rsidP="00BA7F49">
            <w:pPr>
              <w:spacing w:after="0" w:line="240" w:lineRule="auto"/>
              <w:rPr>
                <w:rFonts w:ascii="Calibri" w:eastAsia="Times New Roman" w:hAnsi="Calibri" w:cs="Calibri"/>
                <w:color w:val="000000"/>
                <w:kern w:val="0"/>
                <w:sz w:val="22"/>
                <w:szCs w:val="22"/>
                <w:lang w:val="en-US"/>
                <w14:ligatures w14:val="none"/>
              </w:rPr>
            </w:pPr>
            <w:r w:rsidRPr="00BA7F49">
              <w:rPr>
                <w:rFonts w:ascii="Calibri" w:eastAsia="Times New Roman" w:hAnsi="Calibri" w:cs="Calibri"/>
                <w:color w:val="000000"/>
                <w:kern w:val="0"/>
                <w:sz w:val="22"/>
                <w:szCs w:val="22"/>
                <w:lang w:val="en-US"/>
                <w14:ligatures w14:val="none"/>
              </w:rPr>
              <w:t> </w:t>
            </w:r>
          </w:p>
        </w:tc>
        <w:tc>
          <w:tcPr>
            <w:tcW w:w="1765" w:type="dxa"/>
            <w:tcBorders>
              <w:top w:val="nil"/>
              <w:left w:val="nil"/>
              <w:bottom w:val="nil"/>
              <w:right w:val="nil"/>
            </w:tcBorders>
            <w:shd w:val="clear" w:color="000000" w:fill="FFFFFF"/>
            <w:noWrap/>
            <w:vAlign w:val="bottom"/>
            <w:hideMark/>
          </w:tcPr>
          <w:p w14:paraId="1B873628" w14:textId="77777777" w:rsidR="00BA7F49" w:rsidRPr="00BA7F49" w:rsidRDefault="00BA7F49" w:rsidP="00BA7F49">
            <w:pPr>
              <w:spacing w:after="0" w:line="240" w:lineRule="auto"/>
              <w:rPr>
                <w:rFonts w:ascii="Calibri" w:eastAsia="Times New Roman" w:hAnsi="Calibri" w:cs="Calibri"/>
                <w:color w:val="000000"/>
                <w:kern w:val="0"/>
                <w:sz w:val="22"/>
                <w:szCs w:val="22"/>
                <w:lang w:val="en-US"/>
                <w14:ligatures w14:val="none"/>
              </w:rPr>
            </w:pPr>
            <w:r w:rsidRPr="00BA7F49">
              <w:rPr>
                <w:rFonts w:ascii="Calibri" w:eastAsia="Times New Roman" w:hAnsi="Calibri" w:cs="Calibri"/>
                <w:color w:val="000000"/>
                <w:kern w:val="0"/>
                <w:sz w:val="22"/>
                <w:szCs w:val="22"/>
                <w:lang w:val="en-US"/>
                <w14:ligatures w14:val="none"/>
              </w:rPr>
              <w:t> </w:t>
            </w:r>
          </w:p>
        </w:tc>
        <w:tc>
          <w:tcPr>
            <w:tcW w:w="1765" w:type="dxa"/>
            <w:tcBorders>
              <w:top w:val="nil"/>
              <w:left w:val="nil"/>
              <w:bottom w:val="nil"/>
              <w:right w:val="nil"/>
            </w:tcBorders>
            <w:shd w:val="clear" w:color="000000" w:fill="FFFFFF"/>
            <w:noWrap/>
            <w:vAlign w:val="bottom"/>
            <w:hideMark/>
          </w:tcPr>
          <w:p w14:paraId="2D35522E" w14:textId="77777777" w:rsidR="00BA7F49" w:rsidRPr="00BA7F49" w:rsidRDefault="00BA7F49" w:rsidP="00BA7F49">
            <w:pPr>
              <w:spacing w:after="0" w:line="240" w:lineRule="auto"/>
              <w:rPr>
                <w:rFonts w:ascii="Calibri" w:eastAsia="Times New Roman" w:hAnsi="Calibri" w:cs="Calibri"/>
                <w:color w:val="000000"/>
                <w:kern w:val="0"/>
                <w:sz w:val="22"/>
                <w:szCs w:val="22"/>
                <w:lang w:val="en-US"/>
                <w14:ligatures w14:val="none"/>
              </w:rPr>
            </w:pPr>
            <w:r w:rsidRPr="00BA7F49">
              <w:rPr>
                <w:rFonts w:ascii="Calibri" w:eastAsia="Times New Roman" w:hAnsi="Calibri" w:cs="Calibri"/>
                <w:color w:val="000000"/>
                <w:kern w:val="0"/>
                <w:sz w:val="22"/>
                <w:szCs w:val="22"/>
                <w:lang w:val="en-US"/>
                <w14:ligatures w14:val="none"/>
              </w:rPr>
              <w:t> </w:t>
            </w:r>
          </w:p>
        </w:tc>
        <w:tc>
          <w:tcPr>
            <w:tcW w:w="1765" w:type="dxa"/>
            <w:tcBorders>
              <w:top w:val="nil"/>
              <w:left w:val="nil"/>
              <w:bottom w:val="nil"/>
              <w:right w:val="nil"/>
            </w:tcBorders>
            <w:shd w:val="clear" w:color="000000" w:fill="FFFFFF"/>
            <w:noWrap/>
            <w:vAlign w:val="bottom"/>
            <w:hideMark/>
          </w:tcPr>
          <w:p w14:paraId="719E8AA5" w14:textId="77777777" w:rsidR="00BA7F49" w:rsidRPr="00BA7F49" w:rsidRDefault="00BA7F49" w:rsidP="00BA7F49">
            <w:pPr>
              <w:spacing w:after="0" w:line="240" w:lineRule="auto"/>
              <w:rPr>
                <w:rFonts w:ascii="Calibri" w:eastAsia="Times New Roman" w:hAnsi="Calibri" w:cs="Calibri"/>
                <w:color w:val="000000"/>
                <w:kern w:val="0"/>
                <w:sz w:val="22"/>
                <w:szCs w:val="22"/>
                <w:lang w:val="en-US"/>
                <w14:ligatures w14:val="none"/>
              </w:rPr>
            </w:pPr>
            <w:r w:rsidRPr="00BA7F49">
              <w:rPr>
                <w:rFonts w:ascii="Calibri" w:eastAsia="Times New Roman" w:hAnsi="Calibri" w:cs="Calibri"/>
                <w:color w:val="000000"/>
                <w:kern w:val="0"/>
                <w:sz w:val="22"/>
                <w:szCs w:val="22"/>
                <w:lang w:val="en-US"/>
                <w14:ligatures w14:val="none"/>
              </w:rPr>
              <w:t> </w:t>
            </w:r>
          </w:p>
        </w:tc>
        <w:tc>
          <w:tcPr>
            <w:tcW w:w="1765" w:type="dxa"/>
            <w:tcBorders>
              <w:top w:val="nil"/>
              <w:left w:val="nil"/>
              <w:bottom w:val="nil"/>
              <w:right w:val="nil"/>
            </w:tcBorders>
            <w:shd w:val="clear" w:color="000000" w:fill="FFFFFF"/>
            <w:noWrap/>
            <w:vAlign w:val="bottom"/>
            <w:hideMark/>
          </w:tcPr>
          <w:p w14:paraId="6A39D745" w14:textId="77777777" w:rsidR="00BA7F49" w:rsidRPr="00BA7F49" w:rsidRDefault="00BA7F49" w:rsidP="00BA7F49">
            <w:pPr>
              <w:spacing w:after="0" w:line="240" w:lineRule="auto"/>
              <w:rPr>
                <w:rFonts w:ascii="Calibri" w:eastAsia="Times New Roman" w:hAnsi="Calibri" w:cs="Calibri"/>
                <w:color w:val="000000"/>
                <w:kern w:val="0"/>
                <w:sz w:val="22"/>
                <w:szCs w:val="22"/>
                <w:lang w:val="en-US"/>
                <w14:ligatures w14:val="none"/>
              </w:rPr>
            </w:pPr>
            <w:r w:rsidRPr="00BA7F49">
              <w:rPr>
                <w:rFonts w:ascii="Calibri" w:eastAsia="Times New Roman" w:hAnsi="Calibri" w:cs="Calibri"/>
                <w:color w:val="000000"/>
                <w:kern w:val="0"/>
                <w:sz w:val="22"/>
                <w:szCs w:val="22"/>
                <w:lang w:val="en-US"/>
                <w14:ligatures w14:val="none"/>
              </w:rPr>
              <w:t> </w:t>
            </w:r>
          </w:p>
        </w:tc>
        <w:tc>
          <w:tcPr>
            <w:tcW w:w="1695" w:type="dxa"/>
            <w:tcBorders>
              <w:top w:val="nil"/>
              <w:left w:val="nil"/>
              <w:bottom w:val="nil"/>
              <w:right w:val="nil"/>
            </w:tcBorders>
            <w:shd w:val="clear" w:color="000000" w:fill="FFFFFF"/>
            <w:noWrap/>
            <w:vAlign w:val="bottom"/>
            <w:hideMark/>
          </w:tcPr>
          <w:p w14:paraId="480471AB" w14:textId="77777777" w:rsidR="00BA7F49" w:rsidRPr="00BA7F49" w:rsidRDefault="00BA7F49" w:rsidP="00BA7F49">
            <w:pPr>
              <w:spacing w:after="0" w:line="240" w:lineRule="auto"/>
              <w:rPr>
                <w:rFonts w:ascii="Calibri" w:eastAsia="Times New Roman" w:hAnsi="Calibri" w:cs="Calibri"/>
                <w:color w:val="000000"/>
                <w:kern w:val="0"/>
                <w:sz w:val="22"/>
                <w:szCs w:val="22"/>
                <w:lang w:val="en-US"/>
                <w14:ligatures w14:val="none"/>
              </w:rPr>
            </w:pPr>
            <w:r w:rsidRPr="00BA7F49">
              <w:rPr>
                <w:rFonts w:ascii="Calibri" w:eastAsia="Times New Roman" w:hAnsi="Calibri" w:cs="Calibri"/>
                <w:color w:val="000000"/>
                <w:kern w:val="0"/>
                <w:sz w:val="22"/>
                <w:szCs w:val="22"/>
                <w:lang w:val="en-US"/>
                <w14:ligatures w14:val="none"/>
              </w:rPr>
              <w:t> </w:t>
            </w:r>
          </w:p>
        </w:tc>
        <w:tc>
          <w:tcPr>
            <w:tcW w:w="1695" w:type="dxa"/>
            <w:tcBorders>
              <w:top w:val="nil"/>
              <w:left w:val="nil"/>
              <w:bottom w:val="nil"/>
              <w:right w:val="nil"/>
            </w:tcBorders>
            <w:shd w:val="clear" w:color="000000" w:fill="FFFFFF"/>
            <w:noWrap/>
            <w:vAlign w:val="bottom"/>
            <w:hideMark/>
          </w:tcPr>
          <w:p w14:paraId="6D8993C5" w14:textId="77777777" w:rsidR="00BA7F49" w:rsidRPr="00BA7F49" w:rsidRDefault="00BA7F49" w:rsidP="00BA7F49">
            <w:pPr>
              <w:spacing w:after="0" w:line="240" w:lineRule="auto"/>
              <w:rPr>
                <w:rFonts w:ascii="Calibri" w:eastAsia="Times New Roman" w:hAnsi="Calibri" w:cs="Calibri"/>
                <w:color w:val="000000"/>
                <w:kern w:val="0"/>
                <w:sz w:val="22"/>
                <w:szCs w:val="22"/>
                <w:lang w:val="en-US"/>
                <w14:ligatures w14:val="none"/>
              </w:rPr>
            </w:pPr>
            <w:r w:rsidRPr="00BA7F49">
              <w:rPr>
                <w:rFonts w:ascii="Calibri" w:eastAsia="Times New Roman" w:hAnsi="Calibri" w:cs="Calibri"/>
                <w:color w:val="000000"/>
                <w:kern w:val="0"/>
                <w:sz w:val="22"/>
                <w:szCs w:val="22"/>
                <w:lang w:val="en-US"/>
                <w14:ligatures w14:val="none"/>
              </w:rPr>
              <w:t> </w:t>
            </w:r>
          </w:p>
        </w:tc>
        <w:tc>
          <w:tcPr>
            <w:tcW w:w="1216" w:type="dxa"/>
            <w:tcBorders>
              <w:top w:val="nil"/>
              <w:left w:val="nil"/>
              <w:bottom w:val="nil"/>
              <w:right w:val="nil"/>
            </w:tcBorders>
            <w:shd w:val="clear" w:color="000000" w:fill="FFFFFF"/>
            <w:noWrap/>
            <w:vAlign w:val="bottom"/>
            <w:hideMark/>
          </w:tcPr>
          <w:p w14:paraId="51F6E6EC" w14:textId="77777777" w:rsidR="00BA7F49" w:rsidRPr="00BA7F49" w:rsidRDefault="00BA7F49" w:rsidP="00BA7F49">
            <w:pPr>
              <w:spacing w:after="0" w:line="240" w:lineRule="auto"/>
              <w:rPr>
                <w:rFonts w:ascii="Calibri" w:eastAsia="Times New Roman" w:hAnsi="Calibri" w:cs="Calibri"/>
                <w:color w:val="000000"/>
                <w:kern w:val="0"/>
                <w:sz w:val="22"/>
                <w:szCs w:val="22"/>
                <w:lang w:val="en-US"/>
                <w14:ligatures w14:val="none"/>
              </w:rPr>
            </w:pPr>
            <w:r w:rsidRPr="00BA7F49">
              <w:rPr>
                <w:rFonts w:ascii="Calibri" w:eastAsia="Times New Roman" w:hAnsi="Calibri" w:cs="Calibri"/>
                <w:color w:val="000000"/>
                <w:kern w:val="0"/>
                <w:sz w:val="22"/>
                <w:szCs w:val="22"/>
                <w:lang w:val="en-US"/>
                <w14:ligatures w14:val="none"/>
              </w:rPr>
              <w:t> </w:t>
            </w:r>
          </w:p>
        </w:tc>
        <w:tc>
          <w:tcPr>
            <w:tcW w:w="1216" w:type="dxa"/>
            <w:tcBorders>
              <w:top w:val="nil"/>
              <w:left w:val="nil"/>
              <w:bottom w:val="nil"/>
              <w:right w:val="nil"/>
            </w:tcBorders>
            <w:shd w:val="clear" w:color="000000" w:fill="FFFFFF"/>
            <w:noWrap/>
            <w:vAlign w:val="bottom"/>
            <w:hideMark/>
          </w:tcPr>
          <w:p w14:paraId="0805DD68" w14:textId="77777777" w:rsidR="00BA7F49" w:rsidRPr="00BA7F49" w:rsidRDefault="00BA7F49" w:rsidP="00BA7F49">
            <w:pPr>
              <w:spacing w:after="0" w:line="240" w:lineRule="auto"/>
              <w:rPr>
                <w:rFonts w:ascii="Calibri" w:eastAsia="Times New Roman" w:hAnsi="Calibri" w:cs="Calibri"/>
                <w:color w:val="000000"/>
                <w:kern w:val="0"/>
                <w:sz w:val="22"/>
                <w:szCs w:val="22"/>
                <w:lang w:val="en-US"/>
                <w14:ligatures w14:val="none"/>
              </w:rPr>
            </w:pPr>
            <w:r w:rsidRPr="00BA7F49">
              <w:rPr>
                <w:rFonts w:ascii="Calibri" w:eastAsia="Times New Roman" w:hAnsi="Calibri" w:cs="Calibri"/>
                <w:color w:val="000000"/>
                <w:kern w:val="0"/>
                <w:sz w:val="22"/>
                <w:szCs w:val="22"/>
                <w:lang w:val="en-US"/>
                <w14:ligatures w14:val="none"/>
              </w:rPr>
              <w:t> </w:t>
            </w:r>
          </w:p>
        </w:tc>
        <w:tc>
          <w:tcPr>
            <w:tcW w:w="1216" w:type="dxa"/>
            <w:tcBorders>
              <w:top w:val="nil"/>
              <w:left w:val="nil"/>
              <w:bottom w:val="nil"/>
              <w:right w:val="nil"/>
            </w:tcBorders>
            <w:shd w:val="clear" w:color="000000" w:fill="FFFFFF"/>
            <w:noWrap/>
            <w:vAlign w:val="bottom"/>
            <w:hideMark/>
          </w:tcPr>
          <w:p w14:paraId="640B80F2" w14:textId="77777777" w:rsidR="00BA7F49" w:rsidRPr="00BA7F49" w:rsidRDefault="00BA7F49" w:rsidP="00BA7F49">
            <w:pPr>
              <w:spacing w:after="0" w:line="240" w:lineRule="auto"/>
              <w:rPr>
                <w:rFonts w:ascii="Calibri" w:eastAsia="Times New Roman" w:hAnsi="Calibri" w:cs="Calibri"/>
                <w:color w:val="000000"/>
                <w:kern w:val="0"/>
                <w:sz w:val="22"/>
                <w:szCs w:val="22"/>
                <w:lang w:val="en-US"/>
                <w14:ligatures w14:val="none"/>
              </w:rPr>
            </w:pPr>
            <w:r w:rsidRPr="00BA7F49">
              <w:rPr>
                <w:rFonts w:ascii="Calibri" w:eastAsia="Times New Roman" w:hAnsi="Calibri" w:cs="Calibri"/>
                <w:color w:val="000000"/>
                <w:kern w:val="0"/>
                <w:sz w:val="22"/>
                <w:szCs w:val="22"/>
                <w:lang w:val="en-US"/>
                <w14:ligatures w14:val="none"/>
              </w:rPr>
              <w:t> </w:t>
            </w:r>
          </w:p>
        </w:tc>
        <w:tc>
          <w:tcPr>
            <w:tcW w:w="1216" w:type="dxa"/>
            <w:tcBorders>
              <w:top w:val="nil"/>
              <w:left w:val="nil"/>
              <w:bottom w:val="nil"/>
              <w:right w:val="nil"/>
            </w:tcBorders>
            <w:shd w:val="clear" w:color="000000" w:fill="FFFFFF"/>
            <w:noWrap/>
            <w:vAlign w:val="bottom"/>
            <w:hideMark/>
          </w:tcPr>
          <w:p w14:paraId="285EBD86" w14:textId="77777777" w:rsidR="00BA7F49" w:rsidRPr="00BA7F49" w:rsidRDefault="00BA7F49" w:rsidP="00BA7F49">
            <w:pPr>
              <w:spacing w:after="0" w:line="240" w:lineRule="auto"/>
              <w:rPr>
                <w:rFonts w:ascii="Calibri" w:eastAsia="Times New Roman" w:hAnsi="Calibri" w:cs="Calibri"/>
                <w:color w:val="000000"/>
                <w:kern w:val="0"/>
                <w:sz w:val="22"/>
                <w:szCs w:val="22"/>
                <w:lang w:val="en-US"/>
                <w14:ligatures w14:val="none"/>
              </w:rPr>
            </w:pPr>
            <w:r w:rsidRPr="00BA7F49">
              <w:rPr>
                <w:rFonts w:ascii="Calibri" w:eastAsia="Times New Roman" w:hAnsi="Calibri" w:cs="Calibri"/>
                <w:color w:val="000000"/>
                <w:kern w:val="0"/>
                <w:sz w:val="22"/>
                <w:szCs w:val="22"/>
                <w:lang w:val="en-US"/>
                <w14:ligatures w14:val="none"/>
              </w:rPr>
              <w:t> </w:t>
            </w:r>
          </w:p>
        </w:tc>
      </w:tr>
    </w:tbl>
    <w:p w14:paraId="02A68CAD" w14:textId="3C546306" w:rsidR="00BA7F49" w:rsidRPr="00963C34" w:rsidRDefault="00963C34" w:rsidP="00BA7F49">
      <w:pPr>
        <w:rPr>
          <w:b/>
          <w:bCs/>
          <w:sz w:val="18"/>
          <w:szCs w:val="18"/>
        </w:rPr>
      </w:pPr>
      <w:r w:rsidRPr="00963C34">
        <w:rPr>
          <w:b/>
          <w:bCs/>
          <w:sz w:val="18"/>
          <w:szCs w:val="18"/>
        </w:rPr>
        <w:t>REGLAS GENERALES PARA TODOS LOS PRODUCTOS</w:t>
      </w:r>
    </w:p>
    <w:p w14:paraId="338B27B0" w14:textId="349781BA" w:rsidR="00963C34" w:rsidRPr="00963C34" w:rsidRDefault="00963C34" w:rsidP="00963C34">
      <w:pPr>
        <w:rPr>
          <w:sz w:val="18"/>
          <w:szCs w:val="18"/>
          <w:lang w:val="en-US"/>
        </w:rPr>
      </w:pPr>
      <w:r w:rsidRPr="00963C34">
        <w:rPr>
          <w:b/>
          <w:bCs/>
          <w:sz w:val="18"/>
          <w:szCs w:val="18"/>
          <w:lang w:val="en-US"/>
        </w:rPr>
        <w:t>About TENOR</w:t>
      </w:r>
      <w:r w:rsidRPr="00963C34">
        <w:rPr>
          <w:sz w:val="18"/>
          <w:szCs w:val="18"/>
          <w:lang w:val="en-US"/>
        </w:rPr>
        <w:t>:</w:t>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p>
    <w:p w14:paraId="7C7E61DA" w14:textId="1121FD11" w:rsidR="00963C34" w:rsidRPr="00963C34" w:rsidRDefault="00963C34" w:rsidP="00963C34">
      <w:pPr>
        <w:rPr>
          <w:sz w:val="18"/>
          <w:szCs w:val="18"/>
          <w:lang w:val="en-US"/>
        </w:rPr>
      </w:pPr>
      <w:r w:rsidRPr="00963C34">
        <w:rPr>
          <w:sz w:val="18"/>
          <w:szCs w:val="18"/>
          <w:lang w:val="en-US"/>
        </w:rPr>
        <w:t xml:space="preserve">* WAL will be applied from 01/03/2023. </w:t>
      </w:r>
      <w:proofErr w:type="gramStart"/>
      <w:r w:rsidRPr="00963C34">
        <w:rPr>
          <w:sz w:val="18"/>
          <w:szCs w:val="18"/>
          <w:lang w:val="en-US"/>
        </w:rPr>
        <w:t>The WAL</w:t>
      </w:r>
      <w:proofErr w:type="gramEnd"/>
      <w:r w:rsidRPr="00963C34">
        <w:rPr>
          <w:sz w:val="18"/>
          <w:szCs w:val="18"/>
          <w:lang w:val="en-US"/>
        </w:rPr>
        <w:t xml:space="preserve"> is only applied if there are amortization schedules loaded and when the type of facility will be term.</w:t>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p>
    <w:p w14:paraId="177CDD03" w14:textId="5D817825" w:rsidR="00963C34" w:rsidRPr="00963C34" w:rsidRDefault="00963C34" w:rsidP="00963C34">
      <w:pPr>
        <w:rPr>
          <w:sz w:val="18"/>
          <w:szCs w:val="18"/>
          <w:lang w:val="en-US"/>
        </w:rPr>
      </w:pPr>
      <w:r w:rsidRPr="00963C34">
        <w:rPr>
          <w:sz w:val="18"/>
          <w:szCs w:val="18"/>
          <w:lang w:val="en-US"/>
        </w:rPr>
        <w:t xml:space="preserve">* </w:t>
      </w:r>
      <w:proofErr w:type="spellStart"/>
      <w:r w:rsidRPr="00963C34">
        <w:rPr>
          <w:sz w:val="18"/>
          <w:szCs w:val="18"/>
          <w:lang w:val="en-US"/>
        </w:rPr>
        <w:t>Value_date</w:t>
      </w:r>
      <w:proofErr w:type="spellEnd"/>
      <w:r w:rsidRPr="00963C34">
        <w:rPr>
          <w:sz w:val="18"/>
          <w:szCs w:val="18"/>
          <w:lang w:val="en-US"/>
        </w:rPr>
        <w:t xml:space="preserve"> will always be taken as the start of the trade (depending on whether it is</w:t>
      </w:r>
      <w:r>
        <w:rPr>
          <w:sz w:val="18"/>
          <w:szCs w:val="18"/>
          <w:lang w:val="en-US"/>
        </w:rPr>
        <w:t xml:space="preserve"> </w:t>
      </w:r>
      <w:r w:rsidRPr="00963C34">
        <w:rPr>
          <w:sz w:val="18"/>
          <w:szCs w:val="18"/>
          <w:lang w:val="en-US"/>
        </w:rPr>
        <w:t xml:space="preserve">committed/uncommitted), if the </w:t>
      </w:r>
      <w:proofErr w:type="spellStart"/>
      <w:r w:rsidRPr="00963C34">
        <w:rPr>
          <w:sz w:val="18"/>
          <w:szCs w:val="18"/>
          <w:lang w:val="en-US"/>
        </w:rPr>
        <w:t>value_date</w:t>
      </w:r>
      <w:proofErr w:type="spellEnd"/>
      <w:r w:rsidRPr="00963C34">
        <w:rPr>
          <w:sz w:val="18"/>
          <w:szCs w:val="18"/>
          <w:lang w:val="en-US"/>
        </w:rPr>
        <w:t xml:space="preserve"> is null the default </w:t>
      </w:r>
      <w:proofErr w:type="spellStart"/>
      <w:r w:rsidRPr="00963C34">
        <w:rPr>
          <w:sz w:val="18"/>
          <w:szCs w:val="18"/>
          <w:lang w:val="en-US"/>
        </w:rPr>
        <w:t>Trade_date</w:t>
      </w:r>
      <w:proofErr w:type="spellEnd"/>
      <w:r w:rsidRPr="00963C34">
        <w:rPr>
          <w:sz w:val="18"/>
          <w:szCs w:val="18"/>
          <w:lang w:val="en-US"/>
        </w:rPr>
        <w:t xml:space="preserve"> will be taken. Both passive and active trades.</w:t>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p>
    <w:p w14:paraId="2C377676" w14:textId="374B115A" w:rsidR="00963C34" w:rsidRPr="00963C34" w:rsidRDefault="00963C34" w:rsidP="00963C34">
      <w:pPr>
        <w:rPr>
          <w:sz w:val="18"/>
          <w:szCs w:val="18"/>
          <w:lang w:val="en-US"/>
        </w:rPr>
      </w:pP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p>
    <w:p w14:paraId="66C85373" w14:textId="77777777" w:rsidR="00963C34" w:rsidRPr="00963C34" w:rsidRDefault="00963C34" w:rsidP="00963C34">
      <w:pPr>
        <w:rPr>
          <w:sz w:val="18"/>
          <w:szCs w:val="18"/>
          <w:lang w:val="en-US"/>
        </w:rPr>
      </w:pPr>
      <w:r w:rsidRPr="00963C34">
        <w:rPr>
          <w:b/>
          <w:bCs/>
          <w:sz w:val="18"/>
          <w:szCs w:val="18"/>
          <w:lang w:val="en-US"/>
        </w:rPr>
        <w:t>Base Rate</w:t>
      </w:r>
      <w:r w:rsidRPr="00963C34">
        <w:rPr>
          <w:sz w:val="18"/>
          <w:szCs w:val="18"/>
          <w:lang w:val="en-US"/>
        </w:rPr>
        <w:t>:</w:t>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p>
    <w:p w14:paraId="13ACC12D" w14:textId="77777777" w:rsidR="00963C34" w:rsidRDefault="00963C34" w:rsidP="00963C34">
      <w:pPr>
        <w:rPr>
          <w:sz w:val="18"/>
          <w:szCs w:val="18"/>
          <w:lang w:val="en-US"/>
        </w:rPr>
      </w:pPr>
      <w:r w:rsidRPr="00963C34">
        <w:rPr>
          <w:sz w:val="18"/>
          <w:szCs w:val="18"/>
          <w:lang w:val="en-US"/>
        </w:rPr>
        <w:t>* BR calculation: the repricing dates are always those of the disposition.</w:t>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p>
    <w:p w14:paraId="725B8415" w14:textId="335E8A44" w:rsidR="00963C34" w:rsidRPr="00963C34" w:rsidRDefault="00963C34" w:rsidP="00963C34">
      <w:pPr>
        <w:rPr>
          <w:sz w:val="18"/>
          <w:szCs w:val="18"/>
          <w:lang w:val="en-US"/>
        </w:rPr>
      </w:pPr>
      <w:r w:rsidRPr="00963C34">
        <w:rPr>
          <w:sz w:val="18"/>
          <w:szCs w:val="18"/>
          <w:lang w:val="en-US"/>
        </w:rPr>
        <w:t>* If the repricing dates are empty, the repricing will be calculated with the value date and the maturity date of the outstanding.</w:t>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p>
    <w:p w14:paraId="3BE72106" w14:textId="33589091" w:rsidR="00963C34" w:rsidRPr="00963C34" w:rsidRDefault="00963C34" w:rsidP="00963C34">
      <w:pPr>
        <w:rPr>
          <w:b/>
          <w:bCs/>
          <w:sz w:val="18"/>
          <w:szCs w:val="18"/>
          <w:lang w:val="en-US"/>
        </w:rPr>
      </w:pPr>
      <w:r w:rsidRPr="00963C34">
        <w:rPr>
          <w:b/>
          <w:bCs/>
          <w:sz w:val="18"/>
          <w:szCs w:val="18"/>
          <w:lang w:val="en-US"/>
        </w:rPr>
        <w:tab/>
      </w:r>
      <w:r w:rsidRPr="00963C34">
        <w:rPr>
          <w:b/>
          <w:bCs/>
          <w:sz w:val="18"/>
          <w:szCs w:val="18"/>
          <w:lang w:val="en-US"/>
        </w:rPr>
        <w:tab/>
      </w:r>
    </w:p>
    <w:p w14:paraId="2CEAC5B6" w14:textId="3950E6D8" w:rsidR="00963C34" w:rsidRPr="00963C34" w:rsidRDefault="00963C34" w:rsidP="00963C34">
      <w:pPr>
        <w:rPr>
          <w:sz w:val="18"/>
          <w:szCs w:val="18"/>
          <w:lang w:val="en-US"/>
        </w:rPr>
      </w:pPr>
      <w:r w:rsidRPr="00963C34">
        <w:rPr>
          <w:b/>
          <w:bCs/>
          <w:sz w:val="18"/>
          <w:szCs w:val="18"/>
          <w:lang w:val="en-US"/>
        </w:rPr>
        <w:t>Liquidity Spread:</w:t>
      </w:r>
      <w:r w:rsidRPr="00963C34">
        <w:rPr>
          <w:b/>
          <w:bCs/>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p>
    <w:p w14:paraId="200F10B6" w14:textId="77777777" w:rsidR="00963C34" w:rsidRDefault="00963C34" w:rsidP="00963C34">
      <w:pPr>
        <w:rPr>
          <w:sz w:val="18"/>
          <w:szCs w:val="18"/>
          <w:lang w:val="en-US"/>
        </w:rPr>
      </w:pPr>
      <w:r w:rsidRPr="00963C34">
        <w:rPr>
          <w:sz w:val="18"/>
          <w:szCs w:val="18"/>
          <w:lang w:val="en-US"/>
        </w:rPr>
        <w:t xml:space="preserve">* If the facility is </w:t>
      </w:r>
      <w:proofErr w:type="gramStart"/>
      <w:r w:rsidRPr="00963C34">
        <w:rPr>
          <w:sz w:val="18"/>
          <w:szCs w:val="18"/>
          <w:lang w:val="en-US"/>
        </w:rPr>
        <w:t>committed</w:t>
      </w:r>
      <w:proofErr w:type="gramEnd"/>
      <w:r w:rsidRPr="00963C34">
        <w:rPr>
          <w:sz w:val="18"/>
          <w:szCs w:val="18"/>
          <w:lang w:val="en-US"/>
        </w:rPr>
        <w:t>, the dates we will use for the LS calculations will be that of the facility.</w:t>
      </w:r>
      <w:r w:rsidRPr="00963C34">
        <w:rPr>
          <w:sz w:val="18"/>
          <w:szCs w:val="18"/>
          <w:lang w:val="en-US"/>
        </w:rPr>
        <w:tab/>
      </w:r>
    </w:p>
    <w:p w14:paraId="5A073995" w14:textId="04C9BAA5" w:rsidR="00963C34" w:rsidRPr="00963C34" w:rsidRDefault="00963C34" w:rsidP="00963C34">
      <w:pPr>
        <w:rPr>
          <w:sz w:val="18"/>
          <w:szCs w:val="18"/>
          <w:lang w:val="en-US"/>
        </w:rPr>
      </w:pPr>
      <w:r w:rsidRPr="00963C34">
        <w:rPr>
          <w:sz w:val="18"/>
          <w:szCs w:val="18"/>
          <w:lang w:val="en-US"/>
        </w:rPr>
        <w:t>* If the facility is uncommitted, the dates we will use for the LS calculations will be that of the outstanding.</w:t>
      </w:r>
      <w:r w:rsidRPr="00963C34">
        <w:rPr>
          <w:sz w:val="18"/>
          <w:szCs w:val="18"/>
          <w:lang w:val="en-US"/>
        </w:rPr>
        <w:tab/>
      </w:r>
    </w:p>
    <w:p w14:paraId="21FDA0FF" w14:textId="77777777" w:rsidR="00963C34" w:rsidRDefault="00963C34" w:rsidP="00963C34">
      <w:pPr>
        <w:rPr>
          <w:sz w:val="18"/>
          <w:szCs w:val="18"/>
          <w:lang w:val="en-US"/>
        </w:rPr>
      </w:pPr>
    </w:p>
    <w:p w14:paraId="3D539FA7" w14:textId="003F3BB8" w:rsidR="00963C34" w:rsidRPr="00963C34" w:rsidRDefault="00963C34" w:rsidP="00963C34">
      <w:pPr>
        <w:rPr>
          <w:b/>
          <w:bCs/>
          <w:sz w:val="18"/>
          <w:szCs w:val="18"/>
          <w:lang w:val="en-US"/>
        </w:rPr>
      </w:pPr>
      <w:r w:rsidRPr="00963C34">
        <w:rPr>
          <w:b/>
          <w:bCs/>
          <w:sz w:val="18"/>
          <w:szCs w:val="18"/>
          <w:lang w:val="en-US"/>
        </w:rPr>
        <w:t xml:space="preserve">About Methodologies: </w:t>
      </w:r>
      <w:r w:rsidRPr="00963C34">
        <w:rPr>
          <w:b/>
          <w:bCs/>
          <w:sz w:val="18"/>
          <w:szCs w:val="18"/>
          <w:lang w:val="en-US"/>
        </w:rPr>
        <w:tab/>
      </w:r>
      <w:r w:rsidRPr="00963C34">
        <w:rPr>
          <w:b/>
          <w:bCs/>
          <w:sz w:val="18"/>
          <w:szCs w:val="18"/>
          <w:lang w:val="en-US"/>
        </w:rPr>
        <w:tab/>
      </w:r>
      <w:r w:rsidRPr="00963C34">
        <w:rPr>
          <w:b/>
          <w:bCs/>
          <w:sz w:val="18"/>
          <w:szCs w:val="18"/>
          <w:lang w:val="en-US"/>
        </w:rPr>
        <w:tab/>
      </w:r>
      <w:r w:rsidRPr="00963C34">
        <w:rPr>
          <w:b/>
          <w:bCs/>
          <w:sz w:val="18"/>
          <w:szCs w:val="18"/>
          <w:lang w:val="en-US"/>
        </w:rPr>
        <w:tab/>
      </w:r>
      <w:r w:rsidRPr="00963C34">
        <w:rPr>
          <w:b/>
          <w:bCs/>
          <w:sz w:val="18"/>
          <w:szCs w:val="18"/>
          <w:lang w:val="en-US"/>
        </w:rPr>
        <w:tab/>
      </w:r>
      <w:r w:rsidRPr="00963C34">
        <w:rPr>
          <w:b/>
          <w:bCs/>
          <w:sz w:val="18"/>
          <w:szCs w:val="18"/>
          <w:lang w:val="en-US"/>
        </w:rPr>
        <w:tab/>
      </w:r>
      <w:r w:rsidRPr="00963C34">
        <w:rPr>
          <w:b/>
          <w:bCs/>
          <w:sz w:val="18"/>
          <w:szCs w:val="18"/>
          <w:lang w:val="en-US"/>
        </w:rPr>
        <w:tab/>
      </w:r>
      <w:r w:rsidRPr="00963C34">
        <w:rPr>
          <w:b/>
          <w:bCs/>
          <w:sz w:val="18"/>
          <w:szCs w:val="18"/>
          <w:lang w:val="en-US"/>
        </w:rPr>
        <w:tab/>
      </w:r>
      <w:r w:rsidRPr="00963C34">
        <w:rPr>
          <w:b/>
          <w:bCs/>
          <w:sz w:val="18"/>
          <w:szCs w:val="18"/>
          <w:lang w:val="en-US"/>
        </w:rPr>
        <w:tab/>
      </w:r>
      <w:r w:rsidRPr="00963C34">
        <w:rPr>
          <w:b/>
          <w:bCs/>
          <w:sz w:val="18"/>
          <w:szCs w:val="18"/>
          <w:lang w:val="en-US"/>
        </w:rPr>
        <w:tab/>
      </w:r>
      <w:r w:rsidRPr="00963C34">
        <w:rPr>
          <w:b/>
          <w:bCs/>
          <w:sz w:val="18"/>
          <w:szCs w:val="18"/>
          <w:lang w:val="en-US"/>
        </w:rPr>
        <w:tab/>
      </w:r>
      <w:r w:rsidRPr="00963C34">
        <w:rPr>
          <w:b/>
          <w:bCs/>
          <w:sz w:val="18"/>
          <w:szCs w:val="18"/>
          <w:lang w:val="en-US"/>
        </w:rPr>
        <w:tab/>
      </w:r>
      <w:r w:rsidRPr="00963C34">
        <w:rPr>
          <w:b/>
          <w:bCs/>
          <w:sz w:val="18"/>
          <w:szCs w:val="18"/>
          <w:lang w:val="en-US"/>
        </w:rPr>
        <w:tab/>
      </w:r>
      <w:r w:rsidRPr="00963C34">
        <w:rPr>
          <w:b/>
          <w:bCs/>
          <w:sz w:val="18"/>
          <w:szCs w:val="18"/>
          <w:lang w:val="en-US"/>
        </w:rPr>
        <w:tab/>
      </w:r>
      <w:r w:rsidRPr="00963C34">
        <w:rPr>
          <w:b/>
          <w:bCs/>
          <w:sz w:val="18"/>
          <w:szCs w:val="18"/>
          <w:lang w:val="en-US"/>
        </w:rPr>
        <w:tab/>
      </w:r>
      <w:r w:rsidRPr="00963C34">
        <w:rPr>
          <w:b/>
          <w:bCs/>
          <w:sz w:val="18"/>
          <w:szCs w:val="18"/>
          <w:lang w:val="en-US"/>
        </w:rPr>
        <w:tab/>
      </w:r>
      <w:r w:rsidRPr="00963C34">
        <w:rPr>
          <w:b/>
          <w:bCs/>
          <w:sz w:val="18"/>
          <w:szCs w:val="18"/>
          <w:lang w:val="en-US"/>
        </w:rPr>
        <w:tab/>
      </w:r>
      <w:r w:rsidRPr="00963C34">
        <w:rPr>
          <w:b/>
          <w:bCs/>
          <w:sz w:val="18"/>
          <w:szCs w:val="18"/>
          <w:lang w:val="en-US"/>
        </w:rPr>
        <w:tab/>
      </w:r>
      <w:r w:rsidRPr="00963C34">
        <w:rPr>
          <w:b/>
          <w:bCs/>
          <w:sz w:val="18"/>
          <w:szCs w:val="18"/>
          <w:lang w:val="en-US"/>
        </w:rPr>
        <w:tab/>
      </w:r>
      <w:r w:rsidRPr="00963C34">
        <w:rPr>
          <w:b/>
          <w:bCs/>
          <w:sz w:val="18"/>
          <w:szCs w:val="18"/>
          <w:lang w:val="en-US"/>
        </w:rPr>
        <w:tab/>
      </w:r>
      <w:r w:rsidRPr="00963C34">
        <w:rPr>
          <w:b/>
          <w:bCs/>
          <w:sz w:val="18"/>
          <w:szCs w:val="18"/>
          <w:lang w:val="en-US"/>
        </w:rPr>
        <w:tab/>
      </w:r>
    </w:p>
    <w:p w14:paraId="18FCFD1F" w14:textId="367B8966" w:rsidR="00963C34" w:rsidRPr="00963C34" w:rsidRDefault="00963C34" w:rsidP="00963C34">
      <w:pPr>
        <w:rPr>
          <w:sz w:val="18"/>
          <w:szCs w:val="18"/>
          <w:lang w:val="en-US"/>
        </w:rPr>
      </w:pPr>
      <w:r w:rsidRPr="00963C34">
        <w:rPr>
          <w:sz w:val="18"/>
          <w:szCs w:val="18"/>
          <w:lang w:val="en-US"/>
        </w:rPr>
        <w:t xml:space="preserve">* When a trade comes without a product, Standard methodology will be applied by default. There are products currently marked as error E0, which would be calculated as TTI, if they have all the fields correctly informed. </w:t>
      </w:r>
      <w:r w:rsidRPr="00963C34">
        <w:rPr>
          <w:sz w:val="18"/>
          <w:szCs w:val="18"/>
          <w:lang w:val="en-US"/>
        </w:rPr>
        <w:tab/>
        <w:t xml:space="preserve">They should have products assigned that TTI does not apply. </w:t>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p>
    <w:p w14:paraId="3C873F44" w14:textId="3EB15284" w:rsidR="00963C34" w:rsidRPr="00963C34" w:rsidRDefault="00963C34" w:rsidP="00963C34">
      <w:pPr>
        <w:rPr>
          <w:sz w:val="18"/>
          <w:szCs w:val="18"/>
          <w:lang w:val="en-US"/>
        </w:rPr>
      </w:pPr>
      <w:r w:rsidRPr="00963C34">
        <w:rPr>
          <w:sz w:val="18"/>
          <w:szCs w:val="18"/>
          <w:lang w:val="en-US"/>
        </w:rPr>
        <w:t>* Off-Balance will be calculated for all facility committed, irrespective of whether the facility type is set to Term or Revolver.</w:t>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p>
    <w:p w14:paraId="2B92E59A" w14:textId="6C356CC0" w:rsidR="00963C34" w:rsidRPr="00963C34" w:rsidRDefault="00963C34" w:rsidP="00963C34">
      <w:pPr>
        <w:rPr>
          <w:sz w:val="18"/>
          <w:szCs w:val="18"/>
          <w:lang w:val="en-US"/>
        </w:rPr>
      </w:pP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r w:rsidRPr="00963C34">
        <w:rPr>
          <w:sz w:val="18"/>
          <w:szCs w:val="18"/>
          <w:lang w:val="en-US"/>
        </w:rPr>
        <w:tab/>
      </w:r>
    </w:p>
    <w:p w14:paraId="7FF50CFB" w14:textId="77777777" w:rsidR="00BA7F49" w:rsidRPr="00963C34" w:rsidRDefault="00BA7F49" w:rsidP="00BA7F49">
      <w:pPr>
        <w:rPr>
          <w:sz w:val="18"/>
          <w:szCs w:val="18"/>
          <w:lang w:val="en-US"/>
        </w:rPr>
      </w:pPr>
    </w:p>
    <w:sectPr w:rsidR="00BA7F49" w:rsidRPr="00963C3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15C"/>
    <w:rsid w:val="00200132"/>
    <w:rsid w:val="0049615C"/>
    <w:rsid w:val="004F1A02"/>
    <w:rsid w:val="006852A2"/>
    <w:rsid w:val="00963C34"/>
    <w:rsid w:val="00BA7F49"/>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EE5A4"/>
  <w15:chartTrackingRefBased/>
  <w15:docId w15:val="{2F7255A1-F250-48B0-B1E9-843FF0B4A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961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61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615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615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615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61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61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61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615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615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9615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615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615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615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615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615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615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615C"/>
    <w:rPr>
      <w:rFonts w:eastAsiaTheme="majorEastAsia" w:cstheme="majorBidi"/>
      <w:color w:val="272727" w:themeColor="text1" w:themeTint="D8"/>
    </w:rPr>
  </w:style>
  <w:style w:type="paragraph" w:styleId="Ttulo">
    <w:name w:val="Title"/>
    <w:basedOn w:val="Normal"/>
    <w:next w:val="Normal"/>
    <w:link w:val="TtuloCar"/>
    <w:uiPriority w:val="10"/>
    <w:qFormat/>
    <w:rsid w:val="004961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61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615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615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615C"/>
    <w:pPr>
      <w:spacing w:before="160"/>
      <w:jc w:val="center"/>
    </w:pPr>
    <w:rPr>
      <w:i/>
      <w:iCs/>
      <w:color w:val="404040" w:themeColor="text1" w:themeTint="BF"/>
    </w:rPr>
  </w:style>
  <w:style w:type="character" w:customStyle="1" w:styleId="CitaCar">
    <w:name w:val="Cita Car"/>
    <w:basedOn w:val="Fuentedeprrafopredeter"/>
    <w:link w:val="Cita"/>
    <w:uiPriority w:val="29"/>
    <w:rsid w:val="0049615C"/>
    <w:rPr>
      <w:i/>
      <w:iCs/>
      <w:color w:val="404040" w:themeColor="text1" w:themeTint="BF"/>
    </w:rPr>
  </w:style>
  <w:style w:type="paragraph" w:styleId="Prrafodelista">
    <w:name w:val="List Paragraph"/>
    <w:basedOn w:val="Normal"/>
    <w:uiPriority w:val="34"/>
    <w:qFormat/>
    <w:rsid w:val="0049615C"/>
    <w:pPr>
      <w:ind w:left="720"/>
      <w:contextualSpacing/>
    </w:pPr>
  </w:style>
  <w:style w:type="character" w:styleId="nfasisintenso">
    <w:name w:val="Intense Emphasis"/>
    <w:basedOn w:val="Fuentedeprrafopredeter"/>
    <w:uiPriority w:val="21"/>
    <w:qFormat/>
    <w:rsid w:val="0049615C"/>
    <w:rPr>
      <w:i/>
      <w:iCs/>
      <w:color w:val="0F4761" w:themeColor="accent1" w:themeShade="BF"/>
    </w:rPr>
  </w:style>
  <w:style w:type="paragraph" w:styleId="Citadestacada">
    <w:name w:val="Intense Quote"/>
    <w:basedOn w:val="Normal"/>
    <w:next w:val="Normal"/>
    <w:link w:val="CitadestacadaCar"/>
    <w:uiPriority w:val="30"/>
    <w:qFormat/>
    <w:rsid w:val="00496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615C"/>
    <w:rPr>
      <w:i/>
      <w:iCs/>
      <w:color w:val="0F4761" w:themeColor="accent1" w:themeShade="BF"/>
    </w:rPr>
  </w:style>
  <w:style w:type="character" w:styleId="Referenciaintensa">
    <w:name w:val="Intense Reference"/>
    <w:basedOn w:val="Fuentedeprrafopredeter"/>
    <w:uiPriority w:val="32"/>
    <w:qFormat/>
    <w:rsid w:val="004961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525</Words>
  <Characters>2890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Santander NNGG</Company>
  <LinksUpToDate>false</LinksUpToDate>
  <CharactersWithSpaces>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Tejada Seoane Alvaro</dc:creator>
  <cp:keywords/>
  <dc:description/>
  <cp:lastModifiedBy>Tejada Seoane Alvaro</cp:lastModifiedBy>
  <cp:revision>1</cp:revision>
  <dcterms:created xsi:type="dcterms:W3CDTF">2025-12-01T10:13:00Z</dcterms:created>
  <dcterms:modified xsi:type="dcterms:W3CDTF">2025-12-01T11:15:00Z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1b88ec2-a72b-4523-9e84-0458a1764731_Enabled">
    <vt:lpwstr>true</vt:lpwstr>
  </property>
  <property fmtid="{D5CDD505-2E9C-101B-9397-08002B2CF9AE}" pid="3" name="MSIP_Label_41b88ec2-a72b-4523-9e84-0458a1764731_SetDate">
    <vt:lpwstr>2025-12-01T11:15:48Z</vt:lpwstr>
  </property>
  <property fmtid="{D5CDD505-2E9C-101B-9397-08002B2CF9AE}" pid="4" name="MSIP_Label_41b88ec2-a72b-4523-9e84-0458a1764731_Method">
    <vt:lpwstr>Privileged</vt:lpwstr>
  </property>
  <property fmtid="{D5CDD505-2E9C-101B-9397-08002B2CF9AE}" pid="5" name="MSIP_Label_41b88ec2-a72b-4523-9e84-0458a1764731_Name">
    <vt:lpwstr>Public O365</vt:lpwstr>
  </property>
  <property fmtid="{D5CDD505-2E9C-101B-9397-08002B2CF9AE}" pid="6" name="MSIP_Label_41b88ec2-a72b-4523-9e84-0458a1764731_SiteId">
    <vt:lpwstr>35595a02-4d6d-44ac-99e1-f9ab4cd872db</vt:lpwstr>
  </property>
  <property fmtid="{D5CDD505-2E9C-101B-9397-08002B2CF9AE}" pid="7" name="MSIP_Label_41b88ec2-a72b-4523-9e84-0458a1764731_ActionId">
    <vt:lpwstr>d833faa2-c22a-4f21-9bdc-b4632d592490</vt:lpwstr>
  </property>
  <property fmtid="{D5CDD505-2E9C-101B-9397-08002B2CF9AE}" pid="8" name="MSIP_Label_41b88ec2-a72b-4523-9e84-0458a1764731_ContentBits">
    <vt:lpwstr>0</vt:lpwstr>
  </property>
  <property fmtid="{D5CDD505-2E9C-101B-9397-08002B2CF9AE}" pid="9" name="MSIP_Label_41b88ec2-a72b-4523-9e84-0458a1764731_Tag">
    <vt:lpwstr>10, 0, 1, 1</vt:lpwstr>
  </property>
</Properties>
</file>