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604E"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El Desafío y la Métrica de Evaluación</w:t>
      </w:r>
    </w:p>
    <w:p w14:paraId="02304AB6"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La competencia tiene como objetivo central la predicción de la probabilidad de victoria en cada uno de los posibles enfrentamientos del torneo de baloncesto de la NCAA, abarcando tanto la categoría masculina como la femenina. A diferencia de otros retos de predicción deportiva, este se define como un problema de clasificación binaria probabilística donde el éxito no reside únicamente en acertar quién gana el encuentro, sino en estimar con precisión la probabilidad de dicho resultado.</w:t>
      </w:r>
    </w:p>
    <w:p w14:paraId="11AEC857"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Esta distinción es vital debido a que la evaluación se realiza mediante la métrica Log Loss, la cual penaliza de forma severa aquellas predicciones realizadas con alta confianza que resultan ser incorrectas. Por ello, el éxito en el torneo depende intrínsecamente de la calidad del modelado probabilístico y de la capacidad para evitar predicciones extremas que puedan arruinar el desempeño general.</w:t>
      </w:r>
    </w:p>
    <w:p w14:paraId="79486920"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Datos y Construcción de Variables (</w:t>
      </w:r>
      <w:proofErr w:type="spellStart"/>
      <w:r w:rsidRPr="00D5313A">
        <w:rPr>
          <w:rFonts w:ascii="Times New Roman" w:hAnsi="Times New Roman" w:cs="Times New Roman"/>
          <w:sz w:val="28"/>
          <w:szCs w:val="28"/>
        </w:rPr>
        <w:t>Feature</w:t>
      </w:r>
      <w:proofErr w:type="spellEnd"/>
      <w:r w:rsidRPr="00D5313A">
        <w:rPr>
          <w:rFonts w:ascii="Times New Roman" w:hAnsi="Times New Roman" w:cs="Times New Roman"/>
          <w:sz w:val="28"/>
          <w:szCs w:val="28"/>
        </w:rPr>
        <w:t xml:space="preserve"> </w:t>
      </w:r>
      <w:proofErr w:type="spellStart"/>
      <w:r w:rsidRPr="00D5313A">
        <w:rPr>
          <w:rFonts w:ascii="Times New Roman" w:hAnsi="Times New Roman" w:cs="Times New Roman"/>
          <w:sz w:val="28"/>
          <w:szCs w:val="28"/>
        </w:rPr>
        <w:t>Engineering</w:t>
      </w:r>
      <w:proofErr w:type="spellEnd"/>
      <w:r w:rsidRPr="00D5313A">
        <w:rPr>
          <w:rFonts w:ascii="Times New Roman" w:hAnsi="Times New Roman" w:cs="Times New Roman"/>
          <w:sz w:val="28"/>
          <w:szCs w:val="28"/>
        </w:rPr>
        <w:t>)</w:t>
      </w:r>
    </w:p>
    <w:p w14:paraId="69F5F851"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 xml:space="preserve">Para abordar este problema, se cuenta con una base de datos histórica robusta que se extiende desde aproximadamente 1985. Estos datos incluyen resultados de partidos, estadísticas detalladas como rebotes y asistencias, los </w:t>
      </w:r>
      <w:proofErr w:type="spellStart"/>
      <w:r w:rsidRPr="00D5313A">
        <w:rPr>
          <w:rFonts w:ascii="Times New Roman" w:hAnsi="Times New Roman" w:cs="Times New Roman"/>
          <w:i/>
          <w:iCs/>
          <w:sz w:val="28"/>
          <w:szCs w:val="28"/>
        </w:rPr>
        <w:t>seeds</w:t>
      </w:r>
      <w:proofErr w:type="spellEnd"/>
      <w:r w:rsidRPr="00D5313A">
        <w:rPr>
          <w:rFonts w:ascii="Times New Roman" w:hAnsi="Times New Roman" w:cs="Times New Roman"/>
          <w:sz w:val="28"/>
          <w:szCs w:val="28"/>
        </w:rPr>
        <w:t xml:space="preserve"> o posiciones asignadas en el torneo y rankings externos de diversas fuentes, como los de Massey.</w:t>
      </w:r>
    </w:p>
    <w:p w14:paraId="1C4439D5"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 xml:space="preserve">El proceso recomendado inicia con un análisis exploratorio que permite pasar a la fase de </w:t>
      </w:r>
      <w:proofErr w:type="spellStart"/>
      <w:r w:rsidRPr="00D5313A">
        <w:rPr>
          <w:rFonts w:ascii="Times New Roman" w:hAnsi="Times New Roman" w:cs="Times New Roman"/>
          <w:sz w:val="28"/>
          <w:szCs w:val="28"/>
        </w:rPr>
        <w:t>feature</w:t>
      </w:r>
      <w:proofErr w:type="spellEnd"/>
      <w:r w:rsidRPr="00D5313A">
        <w:rPr>
          <w:rFonts w:ascii="Times New Roman" w:hAnsi="Times New Roman" w:cs="Times New Roman"/>
          <w:sz w:val="28"/>
          <w:szCs w:val="28"/>
        </w:rPr>
        <w:t xml:space="preserve"> </w:t>
      </w:r>
      <w:proofErr w:type="spellStart"/>
      <w:r w:rsidRPr="00D5313A">
        <w:rPr>
          <w:rFonts w:ascii="Times New Roman" w:hAnsi="Times New Roman" w:cs="Times New Roman"/>
          <w:sz w:val="28"/>
          <w:szCs w:val="28"/>
        </w:rPr>
        <w:t>engineering</w:t>
      </w:r>
      <w:proofErr w:type="spellEnd"/>
      <w:r w:rsidRPr="00D5313A">
        <w:rPr>
          <w:rFonts w:ascii="Times New Roman" w:hAnsi="Times New Roman" w:cs="Times New Roman"/>
          <w:sz w:val="28"/>
          <w:szCs w:val="28"/>
        </w:rPr>
        <w:t xml:space="preserve">, considerada una de las claves del éxito. En esta etapa, la práctica más importante es construir las variables como diferencias entre los dos equipos que se enfrentan, lo que ayuda a mitigar sesgos y mejora la potencia predictiva del modelo. Entre las variables más relevantes destacan </w:t>
      </w:r>
      <w:r w:rsidRPr="00D5313A">
        <w:rPr>
          <w:rFonts w:ascii="Times New Roman" w:hAnsi="Times New Roman" w:cs="Times New Roman"/>
          <w:sz w:val="28"/>
          <w:szCs w:val="28"/>
        </w:rPr>
        <w:lastRenderedPageBreak/>
        <w:t xml:space="preserve">el </w:t>
      </w:r>
      <w:proofErr w:type="spellStart"/>
      <w:r w:rsidRPr="00D5313A">
        <w:rPr>
          <w:rFonts w:ascii="Times New Roman" w:hAnsi="Times New Roman" w:cs="Times New Roman"/>
          <w:i/>
          <w:iCs/>
          <w:sz w:val="28"/>
          <w:szCs w:val="28"/>
        </w:rPr>
        <w:t>win</w:t>
      </w:r>
      <w:proofErr w:type="spellEnd"/>
      <w:r w:rsidRPr="00D5313A">
        <w:rPr>
          <w:rFonts w:ascii="Times New Roman" w:hAnsi="Times New Roman" w:cs="Times New Roman"/>
          <w:i/>
          <w:iCs/>
          <w:sz w:val="28"/>
          <w:szCs w:val="28"/>
        </w:rPr>
        <w:t xml:space="preserve"> </w:t>
      </w:r>
      <w:proofErr w:type="spellStart"/>
      <w:r w:rsidRPr="00D5313A">
        <w:rPr>
          <w:rFonts w:ascii="Times New Roman" w:hAnsi="Times New Roman" w:cs="Times New Roman"/>
          <w:i/>
          <w:iCs/>
          <w:sz w:val="28"/>
          <w:szCs w:val="28"/>
        </w:rPr>
        <w:t>rate</w:t>
      </w:r>
      <w:proofErr w:type="spellEnd"/>
      <w:r w:rsidRPr="00D5313A">
        <w:rPr>
          <w:rFonts w:ascii="Times New Roman" w:hAnsi="Times New Roman" w:cs="Times New Roman"/>
          <w:sz w:val="28"/>
          <w:szCs w:val="28"/>
        </w:rPr>
        <w:t>, el diferencial de puntos y la eficiencia ofensiva y defensiva. No obstante, el sistema de puntuación Elo sobresale como la característica individual más determinante para medir la fuerza relativa de los equipos.</w:t>
      </w:r>
    </w:p>
    <w:p w14:paraId="006B6445"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Estrategias de Modelado, Validación y Calibración</w:t>
      </w:r>
    </w:p>
    <w:p w14:paraId="32F24DE9"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 xml:space="preserve">Una vez definidas las variables, se procede al entrenamiento de modelos de clasificación, siendo los más comunes la regresión logística, </w:t>
      </w:r>
      <w:proofErr w:type="spellStart"/>
      <w:r w:rsidRPr="00D5313A">
        <w:rPr>
          <w:rFonts w:ascii="Times New Roman" w:hAnsi="Times New Roman" w:cs="Times New Roman"/>
          <w:sz w:val="28"/>
          <w:szCs w:val="28"/>
        </w:rPr>
        <w:t>XGBoost</w:t>
      </w:r>
      <w:proofErr w:type="spellEnd"/>
      <w:r w:rsidRPr="00D5313A">
        <w:rPr>
          <w:rFonts w:ascii="Times New Roman" w:hAnsi="Times New Roman" w:cs="Times New Roman"/>
          <w:sz w:val="28"/>
          <w:szCs w:val="28"/>
        </w:rPr>
        <w:t xml:space="preserve"> y </w:t>
      </w:r>
      <w:proofErr w:type="spellStart"/>
      <w:r w:rsidRPr="00D5313A">
        <w:rPr>
          <w:rFonts w:ascii="Times New Roman" w:hAnsi="Times New Roman" w:cs="Times New Roman"/>
          <w:sz w:val="28"/>
          <w:szCs w:val="28"/>
        </w:rPr>
        <w:t>LightGBM</w:t>
      </w:r>
      <w:proofErr w:type="spellEnd"/>
      <w:r w:rsidRPr="00D5313A">
        <w:rPr>
          <w:rFonts w:ascii="Times New Roman" w:hAnsi="Times New Roman" w:cs="Times New Roman"/>
          <w:sz w:val="28"/>
          <w:szCs w:val="28"/>
        </w:rPr>
        <w:t xml:space="preserve">. Debido a la naturaleza cronológica de los datos, es imperativo utilizar una técnica de validación temporal denominada </w:t>
      </w:r>
      <w:proofErr w:type="spellStart"/>
      <w:r w:rsidRPr="00D5313A">
        <w:rPr>
          <w:rFonts w:ascii="Times New Roman" w:hAnsi="Times New Roman" w:cs="Times New Roman"/>
          <w:sz w:val="28"/>
          <w:szCs w:val="28"/>
        </w:rPr>
        <w:t>Expanding</w:t>
      </w:r>
      <w:proofErr w:type="spellEnd"/>
      <w:r w:rsidRPr="00D5313A">
        <w:rPr>
          <w:rFonts w:ascii="Times New Roman" w:hAnsi="Times New Roman" w:cs="Times New Roman"/>
          <w:sz w:val="28"/>
          <w:szCs w:val="28"/>
        </w:rPr>
        <w:t xml:space="preserve"> Window (ventana expandible), la cual asegura que el modelo no utilice información del futuro para predecir eventos pasados.</w:t>
      </w:r>
    </w:p>
    <w:p w14:paraId="14A3A8E2"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 xml:space="preserve">Posterior al modelado, un paso crítico es la calibración de probabilidades mediante técnicas como </w:t>
      </w:r>
      <w:r w:rsidRPr="00D5313A">
        <w:rPr>
          <w:rFonts w:ascii="Times New Roman" w:hAnsi="Times New Roman" w:cs="Times New Roman"/>
          <w:i/>
          <w:iCs/>
          <w:sz w:val="28"/>
          <w:szCs w:val="28"/>
        </w:rPr>
        <w:t xml:space="preserve">Platt </w:t>
      </w:r>
      <w:proofErr w:type="spellStart"/>
      <w:r w:rsidRPr="00D5313A">
        <w:rPr>
          <w:rFonts w:ascii="Times New Roman" w:hAnsi="Times New Roman" w:cs="Times New Roman"/>
          <w:i/>
          <w:iCs/>
          <w:sz w:val="28"/>
          <w:szCs w:val="28"/>
        </w:rPr>
        <w:t>scaling</w:t>
      </w:r>
      <w:proofErr w:type="spellEnd"/>
      <w:r w:rsidRPr="00D5313A">
        <w:rPr>
          <w:rFonts w:ascii="Times New Roman" w:hAnsi="Times New Roman" w:cs="Times New Roman"/>
          <w:sz w:val="28"/>
          <w:szCs w:val="28"/>
        </w:rPr>
        <w:t xml:space="preserve"> o regresión isotónica. Este ajuste permite que las predicciones del modelo reflejen de manera más fiel las probabilidades reales de ocurrencia. Complementariamente, se recomienda limitar o recortar los valores extremos de las probabilidades para evitar las altas penalizaciones de la métrica Log Loss.</w:t>
      </w:r>
    </w:p>
    <w:p w14:paraId="65929EC8"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Conclusión y Claves del Éxito</w:t>
      </w:r>
    </w:p>
    <w:p w14:paraId="44E25B73" w14:textId="77777777" w:rsidR="00D5313A" w:rsidRPr="00D5313A" w:rsidRDefault="00D5313A" w:rsidP="00D5313A">
      <w:pPr>
        <w:spacing w:line="360" w:lineRule="auto"/>
        <w:jc w:val="both"/>
        <w:rPr>
          <w:rFonts w:ascii="Times New Roman" w:hAnsi="Times New Roman" w:cs="Times New Roman"/>
          <w:sz w:val="28"/>
          <w:szCs w:val="28"/>
        </w:rPr>
      </w:pPr>
      <w:r w:rsidRPr="00D5313A">
        <w:rPr>
          <w:rFonts w:ascii="Times New Roman" w:hAnsi="Times New Roman" w:cs="Times New Roman"/>
          <w:sz w:val="28"/>
          <w:szCs w:val="28"/>
        </w:rPr>
        <w:t xml:space="preserve">En última instancia, los mejores resultados no provienen necesariamente de los algoritmos más complejos, sino de una ejecución sólida del pipeline de machine </w:t>
      </w:r>
      <w:proofErr w:type="spellStart"/>
      <w:r w:rsidRPr="00D5313A">
        <w:rPr>
          <w:rFonts w:ascii="Times New Roman" w:hAnsi="Times New Roman" w:cs="Times New Roman"/>
          <w:sz w:val="28"/>
          <w:szCs w:val="28"/>
        </w:rPr>
        <w:t>learning</w:t>
      </w:r>
      <w:proofErr w:type="spellEnd"/>
      <w:r w:rsidRPr="00D5313A">
        <w:rPr>
          <w:rFonts w:ascii="Times New Roman" w:hAnsi="Times New Roman" w:cs="Times New Roman"/>
          <w:sz w:val="28"/>
          <w:szCs w:val="28"/>
        </w:rPr>
        <w:t xml:space="preserve">. Las soluciones ganadoras suelen ser aquellas que logran una combinación equilibrada de variables bien construidas (especialmente el sistema Elo), una validación temporal correcta y una calibración de probabilidades precisa. Asimismo, el uso de </w:t>
      </w:r>
      <w:proofErr w:type="spellStart"/>
      <w:r w:rsidRPr="00D5313A">
        <w:rPr>
          <w:rFonts w:ascii="Times New Roman" w:hAnsi="Times New Roman" w:cs="Times New Roman"/>
          <w:sz w:val="28"/>
          <w:szCs w:val="28"/>
        </w:rPr>
        <w:t>ensembles</w:t>
      </w:r>
      <w:proofErr w:type="spellEnd"/>
      <w:r w:rsidRPr="00D5313A">
        <w:rPr>
          <w:rFonts w:ascii="Times New Roman" w:hAnsi="Times New Roman" w:cs="Times New Roman"/>
          <w:sz w:val="28"/>
          <w:szCs w:val="28"/>
        </w:rPr>
        <w:t xml:space="preserve"> y la integración de datos externos son prácticas altamente recomendadas para elevar el rendimiento final. </w:t>
      </w:r>
      <w:r w:rsidRPr="00D5313A">
        <w:rPr>
          <w:rFonts w:ascii="Times New Roman" w:hAnsi="Times New Roman" w:cs="Times New Roman"/>
          <w:sz w:val="28"/>
          <w:szCs w:val="28"/>
        </w:rPr>
        <w:lastRenderedPageBreak/>
        <w:t>Evitar errores comunes como el sobreajuste y el filtrado de información futura es lo que separa a los modelos promedio de los exitosos.</w:t>
      </w:r>
    </w:p>
    <w:p w14:paraId="55671247" w14:textId="77777777" w:rsidR="00D5313A" w:rsidRDefault="00D5313A"/>
    <w:sectPr w:rsidR="00D531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3A"/>
    <w:rsid w:val="00D5313A"/>
    <w:rsid w:val="00D92B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7474"/>
  <w15:chartTrackingRefBased/>
  <w15:docId w15:val="{B488D271-9F8B-4A01-B2F4-FF51FB8E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13A"/>
    <w:rPr>
      <w:rFonts w:eastAsiaTheme="majorEastAsia" w:cstheme="majorBidi"/>
      <w:color w:val="272727" w:themeColor="text1" w:themeTint="D8"/>
    </w:rPr>
  </w:style>
  <w:style w:type="paragraph" w:styleId="Title">
    <w:name w:val="Title"/>
    <w:basedOn w:val="Normal"/>
    <w:next w:val="Normal"/>
    <w:link w:val="TitleChar"/>
    <w:uiPriority w:val="10"/>
    <w:qFormat/>
    <w:rsid w:val="00D53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13A"/>
    <w:pPr>
      <w:spacing w:before="160"/>
      <w:jc w:val="center"/>
    </w:pPr>
    <w:rPr>
      <w:i/>
      <w:iCs/>
      <w:color w:val="404040" w:themeColor="text1" w:themeTint="BF"/>
    </w:rPr>
  </w:style>
  <w:style w:type="character" w:customStyle="1" w:styleId="QuoteChar">
    <w:name w:val="Quote Char"/>
    <w:basedOn w:val="DefaultParagraphFont"/>
    <w:link w:val="Quote"/>
    <w:uiPriority w:val="29"/>
    <w:rsid w:val="00D5313A"/>
    <w:rPr>
      <w:i/>
      <w:iCs/>
      <w:color w:val="404040" w:themeColor="text1" w:themeTint="BF"/>
    </w:rPr>
  </w:style>
  <w:style w:type="paragraph" w:styleId="ListParagraph">
    <w:name w:val="List Paragraph"/>
    <w:basedOn w:val="Normal"/>
    <w:uiPriority w:val="34"/>
    <w:qFormat/>
    <w:rsid w:val="00D5313A"/>
    <w:pPr>
      <w:ind w:left="720"/>
      <w:contextualSpacing/>
    </w:pPr>
  </w:style>
  <w:style w:type="character" w:styleId="IntenseEmphasis">
    <w:name w:val="Intense Emphasis"/>
    <w:basedOn w:val="DefaultParagraphFont"/>
    <w:uiPriority w:val="21"/>
    <w:qFormat/>
    <w:rsid w:val="00D5313A"/>
    <w:rPr>
      <w:i/>
      <w:iCs/>
      <w:color w:val="2F5496" w:themeColor="accent1" w:themeShade="BF"/>
    </w:rPr>
  </w:style>
  <w:style w:type="paragraph" w:styleId="IntenseQuote">
    <w:name w:val="Intense Quote"/>
    <w:basedOn w:val="Normal"/>
    <w:next w:val="Normal"/>
    <w:link w:val="IntenseQuoteChar"/>
    <w:uiPriority w:val="30"/>
    <w:qFormat/>
    <w:rsid w:val="00D53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13A"/>
    <w:rPr>
      <w:i/>
      <w:iCs/>
      <w:color w:val="2F5496" w:themeColor="accent1" w:themeShade="BF"/>
    </w:rPr>
  </w:style>
  <w:style w:type="character" w:styleId="IntenseReference">
    <w:name w:val="Intense Reference"/>
    <w:basedOn w:val="DefaultParagraphFont"/>
    <w:uiPriority w:val="32"/>
    <w:qFormat/>
    <w:rsid w:val="00D53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538</Words>
  <Characters>2960</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Ivonne Baxin Cruz</dc:creator>
  <cp:keywords/>
  <dc:description/>
  <cp:lastModifiedBy>Angela Ivonne Baxin Cruz</cp:lastModifiedBy>
  <cp:revision>2</cp:revision>
  <dcterms:created xsi:type="dcterms:W3CDTF">2026-03-21T03:24:00Z</dcterms:created>
  <dcterms:modified xsi:type="dcterms:W3CDTF">2026-03-21T03:26:00Z</dcterms:modified>
</cp:coreProperties>
</file>