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External Test Observation Record</w:t>
      </w:r>
    </w:p>
    <w:p>
      <w:r>
        <w:rPr>
          <w:b/>
          <w:sz w:val="21"/>
        </w:rPr>
        <w:t>Participant P01 — anonymised</w:t>
      </w:r>
    </w:p>
    <w:p>
      <w:pPr>
        <w:spacing w:after="160"/>
      </w:pPr>
      <w:r>
        <w:rPr>
          <w:b/>
        </w:rPr>
        <w:t>SecuriSelf — Sprint 3 Multilingual Contexts</w:t>
      </w:r>
      <w:r>
        <w:br/>
        <w:t>Date: 17 August 2026</w:t>
      </w:r>
    </w:p>
    <w:tbl>
      <w:tblPr>
        <w:tblW w:type="auto" w:w="0"/>
        <w:jc w:val="center"/>
        <w:tblLook w:firstColumn="1" w:firstRow="1" w:lastColumn="0" w:lastRow="0" w:noHBand="0" w:noVBand="1" w:val="04A0"/>
      </w:tblPr>
      <w:tblGrid>
        <w:gridCol w:w="9972"/>
      </w:tblGrid>
      <w:tr>
        <w:tc>
          <w:tcPr>
            <w:tcW w:type="dxa" w:w="9972"/>
            <w:shd w:fill="F2F2F2"/>
          </w:tcPr>
          <w:p>
            <w:r>
              <w:rPr>
                <w:i/>
                <w:sz w:val="18"/>
              </w:rPr>
              <w:t>Evidence provenance: anonymised retrospective record based on the completed external test outcome reported by the project owner. Participant wording below is paraphrased, not presented as a verbatim quotation.</w:t>
            </w:r>
          </w:p>
        </w:tc>
      </w:tr>
    </w:tbl>
    <w:p>
      <w:pPr>
        <w:spacing w:after="0"/>
      </w:pPr>
    </w:p>
    <w:p>
      <w:pPr>
        <w:pStyle w:val="Heading1"/>
      </w:pPr>
      <w:r>
        <w:t>Session record</w:t>
      </w:r>
    </w:p>
    <w:tbl>
      <w:tblPr>
        <w:tblW w:type="auto" w:w="0"/>
        <w:jc w:val="center"/>
        <w:tblLook w:firstColumn="1" w:firstRow="1" w:lastColumn="0" w:lastRow="0" w:noHBand="0" w:noVBand="1" w:val="04A0"/>
      </w:tblPr>
      <w:tblGrid>
        <w:gridCol w:w="4986"/>
        <w:gridCol w:w="4986"/>
      </w:tblGrid>
      <w:tr>
        <w:tc>
          <w:tcPr>
            <w:tcW w:type="dxa" w:w="4986"/>
            <w:vAlign w:val="center"/>
            <w:shd w:fill="EAEAEA"/>
          </w:tcPr>
          <w:p>
            <w:r>
              <w:t>Participant ID</w:t>
            </w:r>
          </w:p>
        </w:tc>
        <w:tc>
          <w:tcPr>
            <w:tcW w:type="dxa" w:w="4986"/>
            <w:vAlign w:val="center"/>
            <w:shd w:fill="EAEAEA"/>
          </w:tcPr>
          <w:p>
            <w:r>
              <w:t>P01</w:t>
            </w:r>
          </w:p>
        </w:tc>
      </w:tr>
      <w:tr>
        <w:tc>
          <w:tcPr>
            <w:tcW w:type="dxa" w:w="4986"/>
            <w:vAlign w:val="center"/>
          </w:tcPr>
          <w:p>
            <w:r>
              <w:t>Session date</w:t>
            </w:r>
          </w:p>
        </w:tc>
        <w:tc>
          <w:tcPr>
            <w:tcW w:type="dxa" w:w="4986"/>
            <w:vAlign w:val="center"/>
          </w:tcPr>
          <w:p>
            <w:r>
              <w:t>17 August 2026</w:t>
            </w:r>
          </w:p>
        </w:tc>
      </w:tr>
      <w:tr>
        <w:tc>
          <w:tcPr>
            <w:tcW w:type="dxa" w:w="4986"/>
            <w:vAlign w:val="center"/>
          </w:tcPr>
          <w:p>
            <w:r>
              <w:t>Feature evaluated</w:t>
            </w:r>
          </w:p>
        </w:tc>
        <w:tc>
          <w:tcPr>
            <w:tcW w:type="dxa" w:w="4986"/>
            <w:vAlign w:val="center"/>
          </w:tcPr>
          <w:p>
            <w:r>
              <w:t>Sprint 3 multilingual Contexts</w:t>
            </w:r>
          </w:p>
        </w:tc>
      </w:tr>
      <w:tr>
        <w:tc>
          <w:tcPr>
            <w:tcW w:type="dxa" w:w="4986"/>
            <w:vAlign w:val="center"/>
          </w:tcPr>
          <w:p>
            <w:r>
              <w:t>Session outcome</w:t>
            </w:r>
          </w:p>
        </w:tc>
        <w:tc>
          <w:tcPr>
            <w:tcW w:type="dxa" w:w="4986"/>
            <w:vAlign w:val="center"/>
          </w:tcPr>
          <w:p>
            <w:r>
              <w:t>Completed</w:t>
            </w:r>
          </w:p>
        </w:tc>
      </w:tr>
    </w:tbl>
    <w:p>
      <w:pPr>
        <w:pStyle w:val="Heading1"/>
      </w:pPr>
      <w:r>
        <w:t>Observed task completion</w:t>
      </w:r>
    </w:p>
    <w:p>
      <w:r>
        <w:t>Completed all tasks without facilitator assistance.</w:t>
      </w:r>
    </w:p>
    <w:p>
      <w:r>
        <w:t>The participant located the language selector immediately, moved between English and Español without hesitation, saved the Context and confirmed the values after reload. In PrymeCab, the participant correctly interpreted the language switch as a change in the displayed language-specific values rather than a change of authorised Context.</w:t>
      </w:r>
    </w:p>
    <w:p>
      <w:pPr>
        <w:pStyle w:val="Heading1"/>
      </w:pPr>
      <w:r>
        <w:t>Post-task responses</w:t>
      </w:r>
    </w:p>
    <w:p>
      <w:r>
        <w:rPr>
          <w:b/>
        </w:rPr>
        <w:t>Q1 — Comprehension</w:t>
      </w:r>
    </w:p>
    <w:p>
      <w:pPr>
        <w:ind w:left="227"/>
      </w:pPr>
      <w:r>
        <w:t>The language tabs change the language-specific information for the same Context. I understood that I was not creating a second profile or changing the permission.</w:t>
      </w:r>
    </w:p>
    <w:p>
      <w:r>
        <w:rPr>
          <w:b/>
        </w:rPr>
        <w:t>Q2 — Usability</w:t>
      </w:r>
    </w:p>
    <w:p>
      <w:pPr>
        <w:ind w:left="227"/>
      </w:pPr>
      <w:r>
        <w:t>Very easy. The English and Español tabs were clear, and the fields changed in a way I expected. Saving and checking the values again was straightforward.</w:t>
      </w:r>
    </w:p>
    <w:p>
      <w:r>
        <w:rPr>
          <w:b/>
        </w:rPr>
        <w:t>Q3 — Accessibility and clarity</w:t>
      </w:r>
    </w:p>
    <w:p>
      <w:pPr>
        <w:ind w:left="227"/>
      </w:pPr>
      <w:r>
        <w:t>Yes. The labels and selected language were clear and I did not need to rely only on colour to understand what was active. I did not encounter any difficult control.</w:t>
      </w:r>
    </w:p>
    <w:p>
      <w:pPr>
        <w:pStyle w:val="Heading1"/>
      </w:pPr>
      <w:r>
        <w:t>Facilitator assessment</w:t>
      </w:r>
    </w:p>
    <w:tbl>
      <w:tblPr>
        <w:tblW w:type="auto" w:w="0"/>
        <w:jc w:val="center"/>
        <w:tblLook w:firstColumn="1" w:firstRow="1" w:lastColumn="0" w:lastRow="0" w:noHBand="0" w:noVBand="1" w:val="04A0"/>
      </w:tblPr>
      <w:tblGrid>
        <w:gridCol w:w="4986"/>
        <w:gridCol w:w="4986"/>
      </w:tblGrid>
      <w:tr>
        <w:tc>
          <w:tcPr>
            <w:tcW w:type="dxa" w:w="4986"/>
          </w:tcPr>
          <w:p>
            <w:r>
              <w:t>Understood purpose of language switching</w:t>
            </w:r>
          </w:p>
        </w:tc>
        <w:tc>
          <w:tcPr>
            <w:tcW w:type="dxa" w:w="4986"/>
          </w:tcPr>
          <w:p>
            <w:r>
              <w:t>Yes</w:t>
            </w:r>
          </w:p>
        </w:tc>
      </w:tr>
      <w:tr>
        <w:tc>
          <w:tcPr>
            <w:tcW w:type="dxa" w:w="4986"/>
          </w:tcPr>
          <w:p>
            <w:r>
              <w:t>Completed multilingual editing and persistence check</w:t>
            </w:r>
          </w:p>
        </w:tc>
        <w:tc>
          <w:tcPr>
            <w:tcW w:type="dxa" w:w="4986"/>
          </w:tcPr>
          <w:p>
            <w:r>
              <w:t>Yes — unassisted</w:t>
            </w:r>
          </w:p>
        </w:tc>
      </w:tr>
      <w:tr>
        <w:tc>
          <w:tcPr>
            <w:tcW w:type="dxa" w:w="4986"/>
          </w:tcPr>
          <w:p>
            <w:r>
              <w:t>Understood same Context in EN/ES</w:t>
            </w:r>
          </w:p>
        </w:tc>
        <w:tc>
          <w:tcPr>
            <w:tcW w:type="dxa" w:w="4986"/>
          </w:tcPr>
          <w:p>
            <w:r>
              <w:t>Yes</w:t>
            </w:r>
          </w:p>
        </w:tc>
      </w:tr>
      <w:tr>
        <w:tc>
          <w:tcPr>
            <w:tcW w:type="dxa" w:w="4986"/>
          </w:tcPr>
          <w:p>
            <w:r>
              <w:t>Observed accessibility/usability blocker</w:t>
            </w:r>
          </w:p>
        </w:tc>
        <w:tc>
          <w:tcPr>
            <w:tcW w:type="dxa" w:w="4986"/>
          </w:tcPr>
          <w:p>
            <w:r>
              <w:t>No</w:t>
            </w:r>
          </w:p>
        </w:tc>
      </w:tr>
      <w:tr>
        <w:tc>
          <w:tcPr>
            <w:tcW w:type="dxa" w:w="4986"/>
          </w:tcPr>
          <w:p>
            <w:r>
              <w:t>Overall assessment</w:t>
            </w:r>
          </w:p>
        </w:tc>
        <w:tc>
          <w:tcPr>
            <w:tcW w:type="dxa" w:w="4986"/>
          </w:tcPr>
          <w:p>
            <w:r>
              <w:t>Very easy / no observed usability blocker</w:t>
            </w:r>
          </w:p>
        </w:tc>
      </w:tr>
    </w:tbl>
    <w:p>
      <w:pPr>
        <w:pStyle w:val="Heading1"/>
      </w:pPr>
      <w:r>
        <w:t>Interpretation boundary</w:t>
      </w:r>
    </w:p>
    <w:p>
      <w:r>
        <w:t>This observation supports perceived usability, clarity and accessibility of the tested multilingual interaction for this participant. It is not a WCAG conformance assessment and does not substitute for assistive-technology testing.</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SecuriSelf — Sprint 3 external usability/accessibility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