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External Test Observation Record</w:t>
      </w:r>
    </w:p>
    <w:p>
      <w:r>
        <w:rPr>
          <w:b/>
          <w:sz w:val="21"/>
        </w:rPr>
        <w:t>Participant P02 — anonymised</w:t>
      </w:r>
    </w:p>
    <w:p>
      <w:pPr>
        <w:spacing w:after="160"/>
      </w:pPr>
      <w:r>
        <w:rPr>
          <w:b/>
        </w:rPr>
        <w:t>SecuriSelf — Sprint 3 Multilingual Contexts</w:t>
      </w:r>
      <w:r>
        <w:br/>
        <w:t>Date: 17 August 2026</w:t>
      </w:r>
    </w:p>
    <w:tbl>
      <w:tblPr>
        <w:tblW w:type="auto" w:w="0"/>
        <w:jc w:val="center"/>
        <w:tblLook w:firstColumn="1" w:firstRow="1" w:lastColumn="0" w:lastRow="0" w:noHBand="0" w:noVBand="1" w:val="04A0"/>
      </w:tblPr>
      <w:tblGrid>
        <w:gridCol w:w="9972"/>
      </w:tblGrid>
      <w:tr>
        <w:tc>
          <w:tcPr>
            <w:tcW w:type="dxa" w:w="9972"/>
            <w:shd w:fill="F2F2F2"/>
          </w:tcPr>
          <w:p>
            <w:r>
              <w:rPr>
                <w:i/>
                <w:sz w:val="18"/>
              </w:rPr>
              <w:t>Evidence provenance: anonymised retrospective record based on the completed external test outcome reported by the project owner. Participant wording below is paraphrased, not presented as a verbatim quotation.</w:t>
            </w:r>
          </w:p>
        </w:tc>
      </w:tr>
    </w:tbl>
    <w:p>
      <w:pPr>
        <w:spacing w:after="0"/>
      </w:pPr>
    </w:p>
    <w:p>
      <w:pPr>
        <w:pStyle w:val="Heading1"/>
      </w:pPr>
      <w:r>
        <w:t>Session record</w:t>
      </w:r>
    </w:p>
    <w:tbl>
      <w:tblPr>
        <w:tblW w:type="auto" w:w="0"/>
        <w:jc w:val="center"/>
        <w:tblLook w:firstColumn="1" w:firstRow="1" w:lastColumn="0" w:lastRow="0" w:noHBand="0" w:noVBand="1" w:val="04A0"/>
      </w:tblPr>
      <w:tblGrid>
        <w:gridCol w:w="4986"/>
        <w:gridCol w:w="4986"/>
      </w:tblGrid>
      <w:tr>
        <w:tc>
          <w:tcPr>
            <w:tcW w:type="dxa" w:w="4986"/>
            <w:vAlign w:val="center"/>
            <w:shd w:fill="EAEAEA"/>
          </w:tcPr>
          <w:p>
            <w:r>
              <w:t>Participant ID</w:t>
            </w:r>
          </w:p>
        </w:tc>
        <w:tc>
          <w:tcPr>
            <w:tcW w:type="dxa" w:w="4986"/>
            <w:vAlign w:val="center"/>
            <w:shd w:fill="EAEAEA"/>
          </w:tcPr>
          <w:p>
            <w:r>
              <w:t>P02</w:t>
            </w:r>
          </w:p>
        </w:tc>
      </w:tr>
      <w:tr>
        <w:tc>
          <w:tcPr>
            <w:tcW w:type="dxa" w:w="4986"/>
            <w:vAlign w:val="center"/>
          </w:tcPr>
          <w:p>
            <w:r>
              <w:t>Session date</w:t>
            </w:r>
          </w:p>
        </w:tc>
        <w:tc>
          <w:tcPr>
            <w:tcW w:type="dxa" w:w="4986"/>
            <w:vAlign w:val="center"/>
          </w:tcPr>
          <w:p>
            <w:r>
              <w:t>17 August 2026</w:t>
            </w:r>
          </w:p>
        </w:tc>
      </w:tr>
      <w:tr>
        <w:tc>
          <w:tcPr>
            <w:tcW w:type="dxa" w:w="4986"/>
            <w:vAlign w:val="center"/>
          </w:tcPr>
          <w:p>
            <w:r>
              <w:t>Feature evaluated</w:t>
            </w:r>
          </w:p>
        </w:tc>
        <w:tc>
          <w:tcPr>
            <w:tcW w:type="dxa" w:w="4986"/>
            <w:vAlign w:val="center"/>
          </w:tcPr>
          <w:p>
            <w:r>
              <w:t>Sprint 3 multilingual Contexts</w:t>
            </w:r>
          </w:p>
        </w:tc>
      </w:tr>
      <w:tr>
        <w:tc>
          <w:tcPr>
            <w:tcW w:type="dxa" w:w="4986"/>
            <w:vAlign w:val="center"/>
          </w:tcPr>
          <w:p>
            <w:r>
              <w:t>Session outcome</w:t>
            </w:r>
          </w:p>
        </w:tc>
        <w:tc>
          <w:tcPr>
            <w:tcW w:type="dxa" w:w="4986"/>
            <w:vAlign w:val="center"/>
          </w:tcPr>
          <w:p>
            <w:r>
              <w:t>Completed</w:t>
            </w:r>
          </w:p>
        </w:tc>
      </w:tr>
    </w:tbl>
    <w:p>
      <w:pPr>
        <w:pStyle w:val="Heading1"/>
      </w:pPr>
      <w:r>
        <w:t>Observed task completion</w:t>
      </w:r>
    </w:p>
    <w:p>
      <w:r>
        <w:t>Completed all tasks without facilitator assistance.</w:t>
      </w:r>
    </w:p>
    <w:p>
      <w:r>
        <w:t>The participant understood that only localisable fields changed when switching language. Stable Context information remained recognisable, which helped maintain orientation. The participant successfully verified English and Spanish results in PrymeCab and understood the fallback value when one Spanish translation was unavailable.</w:t>
      </w:r>
    </w:p>
    <w:p>
      <w:pPr>
        <w:pStyle w:val="Heading1"/>
      </w:pPr>
      <w:r>
        <w:t>Post-task responses</w:t>
      </w:r>
    </w:p>
    <w:p>
      <w:r>
        <w:rPr>
          <w:b/>
        </w:rPr>
        <w:t>Q1 — Comprehension</w:t>
      </w:r>
    </w:p>
    <w:p>
      <w:pPr>
        <w:ind w:left="227"/>
      </w:pPr>
      <w:r>
        <w:t>I understood that SecuriSelf keeps one authorised Context but can provide the text in the language requested by the app. The rest of the Context stays the same.</w:t>
      </w:r>
    </w:p>
    <w:p>
      <w:r>
        <w:rPr>
          <w:b/>
        </w:rPr>
        <w:t>Q2 — Usability</w:t>
      </w:r>
    </w:p>
    <w:p>
      <w:pPr>
        <w:ind w:left="227"/>
      </w:pPr>
      <w:r>
        <w:t>Easy to use. I could tell where to add each language and the same fields appeared consistently when switching between English and Spanish.</w:t>
      </w:r>
    </w:p>
    <w:p>
      <w:r>
        <w:rPr>
          <w:b/>
        </w:rPr>
        <w:t>Q3 — Accessibility and clarity</w:t>
      </w:r>
    </w:p>
    <w:p>
      <w:pPr>
        <w:ind w:left="227"/>
      </w:pPr>
      <w:r>
        <w:t>Yes. The controls were readable and understandable, and the tab labels made the state clear. I did not find anything that prevented me from completing the task.</w:t>
      </w:r>
    </w:p>
    <w:p>
      <w:pPr>
        <w:pStyle w:val="Heading1"/>
      </w:pPr>
      <w:r>
        <w:t>Facilitator assessment</w:t>
      </w:r>
    </w:p>
    <w:tbl>
      <w:tblPr>
        <w:tblW w:type="auto" w:w="0"/>
        <w:jc w:val="center"/>
        <w:tblLook w:firstColumn="1" w:firstRow="1" w:lastColumn="0" w:lastRow="0" w:noHBand="0" w:noVBand="1" w:val="04A0"/>
      </w:tblPr>
      <w:tblGrid>
        <w:gridCol w:w="4986"/>
        <w:gridCol w:w="4986"/>
      </w:tblGrid>
      <w:tr>
        <w:tc>
          <w:tcPr>
            <w:tcW w:type="dxa" w:w="4986"/>
          </w:tcPr>
          <w:p>
            <w:r>
              <w:t>Understood purpose of language switching</w:t>
            </w:r>
          </w:p>
        </w:tc>
        <w:tc>
          <w:tcPr>
            <w:tcW w:type="dxa" w:w="4986"/>
          </w:tcPr>
          <w:p>
            <w:r>
              <w:t>Yes</w:t>
            </w:r>
          </w:p>
        </w:tc>
      </w:tr>
      <w:tr>
        <w:tc>
          <w:tcPr>
            <w:tcW w:type="dxa" w:w="4986"/>
          </w:tcPr>
          <w:p>
            <w:r>
              <w:t>Completed multilingual editing and persistence check</w:t>
            </w:r>
          </w:p>
        </w:tc>
        <w:tc>
          <w:tcPr>
            <w:tcW w:type="dxa" w:w="4986"/>
          </w:tcPr>
          <w:p>
            <w:r>
              <w:t>Yes — unassisted</w:t>
            </w:r>
          </w:p>
        </w:tc>
      </w:tr>
      <w:tr>
        <w:tc>
          <w:tcPr>
            <w:tcW w:type="dxa" w:w="4986"/>
          </w:tcPr>
          <w:p>
            <w:r>
              <w:t>Understood same Context in EN/ES</w:t>
            </w:r>
          </w:p>
        </w:tc>
        <w:tc>
          <w:tcPr>
            <w:tcW w:type="dxa" w:w="4986"/>
          </w:tcPr>
          <w:p>
            <w:r>
              <w:t>Yes</w:t>
            </w:r>
          </w:p>
        </w:tc>
      </w:tr>
      <w:tr>
        <w:tc>
          <w:tcPr>
            <w:tcW w:type="dxa" w:w="4986"/>
          </w:tcPr>
          <w:p>
            <w:r>
              <w:t>Observed accessibility/usability blocker</w:t>
            </w:r>
          </w:p>
        </w:tc>
        <w:tc>
          <w:tcPr>
            <w:tcW w:type="dxa" w:w="4986"/>
          </w:tcPr>
          <w:p>
            <w:r>
              <w:t>No</w:t>
            </w:r>
          </w:p>
        </w:tc>
      </w:tr>
      <w:tr>
        <w:tc>
          <w:tcPr>
            <w:tcW w:type="dxa" w:w="4986"/>
          </w:tcPr>
          <w:p>
            <w:r>
              <w:t>Overall assessment</w:t>
            </w:r>
          </w:p>
        </w:tc>
        <w:tc>
          <w:tcPr>
            <w:tcW w:type="dxa" w:w="4986"/>
          </w:tcPr>
          <w:p>
            <w:r>
              <w:t>Easy / no observed usability blocker</w:t>
            </w:r>
          </w:p>
        </w:tc>
      </w:tr>
    </w:tbl>
    <w:p>
      <w:pPr>
        <w:pStyle w:val="Heading1"/>
      </w:pPr>
      <w:r>
        <w:t>Interpretation boundary</w:t>
      </w:r>
    </w:p>
    <w:p>
      <w:r>
        <w:t>This observation supports perceived usability, clarity and accessibility of the tested multilingual interaction for this participant. It is not a WCAG conformance assessment and does not substitute for assistive-technology testing.</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SecuriSelf — Sprint 3 external usability/accessibility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