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External Test Observation Record</w:t>
      </w:r>
    </w:p>
    <w:p>
      <w:r>
        <w:rPr>
          <w:b/>
          <w:sz w:val="21"/>
        </w:rPr>
        <w:t>Participant P03 — anonymised</w:t>
      </w:r>
    </w:p>
    <w:p>
      <w:pPr>
        <w:spacing w:after="160"/>
      </w:pPr>
      <w:r>
        <w:rPr>
          <w:b/>
        </w:rPr>
        <w:t>SecuriSelf — Sprint 3 Multilingual Contexts</w:t>
      </w:r>
      <w:r>
        <w:br/>
        <w:t>Date: 17 August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</w:tcPr>
          <w:p>
            <w:r>
              <w:rPr>
                <w:i/>
                <w:sz w:val="18"/>
              </w:rPr>
              <w:t>Evidence provenance: anonymised retrospective record based on the completed external test outcome reported by the project owner. Participant wording below is paraphrased, not presented as a verbatim quotation.</w:t>
            </w:r>
          </w:p>
        </w:tc>
      </w:tr>
    </w:tbl>
    <w:p>
      <w:pPr>
        <w:spacing w:after="0"/>
      </w:pPr>
    </w:p>
    <w:p>
      <w:pPr>
        <w:pStyle w:val="Heading1"/>
      </w:pPr>
      <w:r>
        <w:t>Session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EAEA"/>
          </w:tcPr>
          <w:p>
            <w:r>
              <w:t>Participant ID</w:t>
            </w:r>
          </w:p>
        </w:tc>
        <w:tc>
          <w:tcPr>
            <w:tcW w:type="dxa" w:w="4986"/>
            <w:vAlign w:val="center"/>
            <w:shd w:fill="EAEAEA"/>
          </w:tcPr>
          <w:p>
            <w:r>
              <w:t>P03</w:t>
            </w:r>
          </w:p>
        </w:tc>
      </w:tr>
      <w:tr>
        <w:tc>
          <w:tcPr>
            <w:tcW w:type="dxa" w:w="4986"/>
            <w:vAlign w:val="center"/>
          </w:tcPr>
          <w:p>
            <w:r>
              <w:t>Session date</w:t>
            </w:r>
          </w:p>
        </w:tc>
        <w:tc>
          <w:tcPr>
            <w:tcW w:type="dxa" w:w="4986"/>
            <w:vAlign w:val="center"/>
          </w:tcPr>
          <w:p>
            <w:r>
              <w:t>17 August 2026</w:t>
            </w:r>
          </w:p>
        </w:tc>
      </w:tr>
      <w:tr>
        <w:tc>
          <w:tcPr>
            <w:tcW w:type="dxa" w:w="4986"/>
            <w:vAlign w:val="center"/>
          </w:tcPr>
          <w:p>
            <w:r>
              <w:t>Feature evaluated</w:t>
            </w:r>
          </w:p>
        </w:tc>
        <w:tc>
          <w:tcPr>
            <w:tcW w:type="dxa" w:w="4986"/>
            <w:vAlign w:val="center"/>
          </w:tcPr>
          <w:p>
            <w:r>
              <w:t>Sprint 3 multilingual Contexts</w:t>
            </w:r>
          </w:p>
        </w:tc>
      </w:tr>
      <w:tr>
        <w:tc>
          <w:tcPr>
            <w:tcW w:type="dxa" w:w="4986"/>
            <w:vAlign w:val="center"/>
          </w:tcPr>
          <w:p>
            <w:r>
              <w:t>Session outcome</w:t>
            </w:r>
          </w:p>
        </w:tc>
        <w:tc>
          <w:tcPr>
            <w:tcW w:type="dxa" w:w="4986"/>
            <w:vAlign w:val="center"/>
          </w:tcPr>
          <w:p>
            <w:r>
              <w:t>Completed</w:t>
            </w:r>
          </w:p>
        </w:tc>
      </w:tr>
    </w:tbl>
    <w:p>
      <w:pPr>
        <w:pStyle w:val="Heading1"/>
      </w:pPr>
      <w:r>
        <w:t>Observed task completion</w:t>
      </w:r>
    </w:p>
    <w:p>
      <w:r>
        <w:t>Completed all tasks without facilitator assistance.</w:t>
      </w:r>
    </w:p>
    <w:p>
      <w:r>
        <w:t>The participant moved through Context editing, persistence checking and third-party viewing in sequence without requesting clarification. The participant correctly described the fallback as a field-level substitution and noted that the Professional Context remained the same in both language views.</w:t>
      </w:r>
    </w:p>
    <w:p>
      <w:pPr>
        <w:pStyle w:val="Heading1"/>
      </w:pPr>
      <w:r>
        <w:t>Post-task responses</w:t>
      </w:r>
    </w:p>
    <w:p>
      <w:r>
        <w:rPr>
          <w:b/>
        </w:rPr>
        <w:t>Q1 — Comprehension</w:t>
      </w:r>
    </w:p>
    <w:p>
      <w:pPr>
        <w:ind w:left="227"/>
      </w:pPr>
      <w:r>
        <w:t>The feature lets me prepare the same Context in English and Spanish, and the third-party app can display the appropriate version without changing which Context I authorised.</w:t>
      </w:r>
    </w:p>
    <w:p>
      <w:r>
        <w:rPr>
          <w:b/>
        </w:rPr>
        <w:t>Q2 — Usability</w:t>
      </w:r>
    </w:p>
    <w:p>
      <w:pPr>
        <w:ind w:left="227"/>
      </w:pPr>
      <w:r>
        <w:t>Very easy. Switching languages was simple and the saved values appeared again after reloading, so the behaviour felt predictable.</w:t>
      </w:r>
    </w:p>
    <w:p>
      <w:r>
        <w:rPr>
          <w:b/>
        </w:rPr>
        <w:t>Q3 — Accessibility and clarity</w:t>
      </w:r>
    </w:p>
    <w:p>
      <w:pPr>
        <w:ind w:left="227"/>
      </w:pPr>
      <w:r>
        <w:t>Yes. The language names, field labels and active state were understandable. I could complete the flow without confusion or an accessibility-related obstacle.</w:t>
      </w:r>
    </w:p>
    <w:p>
      <w:pPr>
        <w:pStyle w:val="Heading1"/>
      </w:pPr>
      <w:r>
        <w:t>Facilitator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Understood purpose of language switching</w:t>
            </w:r>
          </w:p>
        </w:tc>
        <w:tc>
          <w:tcPr>
            <w:tcW w:type="dxa" w:w="4986"/>
          </w:tcPr>
          <w:p>
            <w:r>
              <w:t>Yes</w:t>
            </w:r>
          </w:p>
        </w:tc>
      </w:tr>
      <w:tr>
        <w:tc>
          <w:tcPr>
            <w:tcW w:type="dxa" w:w="4986"/>
          </w:tcPr>
          <w:p>
            <w:r>
              <w:t>Completed multilingual editing and persistence check</w:t>
            </w:r>
          </w:p>
        </w:tc>
        <w:tc>
          <w:tcPr>
            <w:tcW w:type="dxa" w:w="4986"/>
          </w:tcPr>
          <w:p>
            <w:r>
              <w:t>Yes — unassisted</w:t>
            </w:r>
          </w:p>
        </w:tc>
      </w:tr>
      <w:tr>
        <w:tc>
          <w:tcPr>
            <w:tcW w:type="dxa" w:w="4986"/>
          </w:tcPr>
          <w:p>
            <w:r>
              <w:t>Understood same Context in EN/ES</w:t>
            </w:r>
          </w:p>
        </w:tc>
        <w:tc>
          <w:tcPr>
            <w:tcW w:type="dxa" w:w="4986"/>
          </w:tcPr>
          <w:p>
            <w:r>
              <w:t>Yes</w:t>
            </w:r>
          </w:p>
        </w:tc>
      </w:tr>
      <w:tr>
        <w:tc>
          <w:tcPr>
            <w:tcW w:type="dxa" w:w="4986"/>
          </w:tcPr>
          <w:p>
            <w:r>
              <w:t>Observed accessibility/usability blocker</w:t>
            </w:r>
          </w:p>
        </w:tc>
        <w:tc>
          <w:tcPr>
            <w:tcW w:type="dxa" w:w="4986"/>
          </w:tcPr>
          <w:p>
            <w:r>
              <w:t>No</w:t>
            </w:r>
          </w:p>
        </w:tc>
      </w:tr>
      <w:tr>
        <w:tc>
          <w:tcPr>
            <w:tcW w:type="dxa" w:w="4986"/>
          </w:tcPr>
          <w:p>
            <w:r>
              <w:t>Overall assessment</w:t>
            </w:r>
          </w:p>
        </w:tc>
        <w:tc>
          <w:tcPr>
            <w:tcW w:type="dxa" w:w="4986"/>
          </w:tcPr>
          <w:p>
            <w:r>
              <w:t>Very easy / no observed usability blocker</w:t>
            </w:r>
          </w:p>
        </w:tc>
      </w:tr>
    </w:tbl>
    <w:p>
      <w:pPr>
        <w:pStyle w:val="Heading1"/>
      </w:pPr>
      <w:r>
        <w:t>Interpretation boundary</w:t>
      </w:r>
    </w:p>
    <w:p>
      <w:r>
        <w:t>This observation supports perceived usability, clarity and accessibility of the tested multilingual interaction for this participant. It is not a WCAG conformance assessment and does not substitute for assistive-technology testing.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SecuriSelf — Sprint 3 external usability/accessibility evidence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