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44"/>
          <w:szCs w:val="44"/>
        </w:rPr>
        <w:t xml:space="preserve">Menopause Readiness Assessment</w:t>
      </w:r>
    </w:p>
    <w:p>
      <w:pPr>
        <w:spacing w:after="400" w:before="0"/>
        <w:jc w:val="center"/>
      </w:pPr>
      <w:r>
        <w:rPr>
          <w:rFonts w:ascii="Arial" w:cs="Arial" w:eastAsia="Arial" w:hAnsi="Arial"/>
          <w:i/>
          <w:iCs/>
          <w:color w:val="C0392B"/>
          <w:sz w:val="28"/>
          <w:szCs w:val="28"/>
        </w:rPr>
        <w:t xml:space="preserve">QuickScan Results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2"/>
              <w:left w:val="single" w:color="C0392B" w:sz="12"/>
              <w:bottom w:val="single" w:color="C0392B" w:sz="12"/>
              <w:right w:val="single" w:color="C0392B" w:sz="12"/>
            </w:tcBorders>
            <w:shd w:fill="FEF0EF" w:val="clear"/>
            <w:tcMar>
              <w:top w:type="dxa" w:w="200"/>
              <w:left w:type="dxa" w:w="280"/>
              <w:bottom w:type="dxa" w:w="200"/>
              <w:right w:type="dxa" w:w="280"/>
            </w:tcMar>
          </w:tcPr>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Borders>
                    <w:top w:val="none" w:color="FFFFFF" w:sz="0"/>
                    <w:left w:val="none" w:color="FFFFFF" w:sz="0"/>
                    <w:bottom w:val="none" w:color="FFFFFF" w:sz="0"/>
                    <w:right w:val="none" w:color="FFFFFF" w:sz="0"/>
                  </w:tcBorders>
                  <w:shd w:fill="FEF0EF" w:val="clear"/>
                  <w:tcMar>
                    <w:top w:type="dxa" w:w="160"/>
                    <w:left w:type="dxa" w:w="200"/>
                    <w:bottom w:type="dxa" w:w="160"/>
                    <w:right w:type="dxa" w:w="200"/>
                  </w:tcMar>
                  <w:vAlign w:val="center"/>
                </w:tcPr>
                <w:p>
                  <w:pPr>
                    <w:spacing w:after="80" w:before="0"/>
                    <w:jc w:val="center"/>
                  </w:pPr>
                  <w:r>
                    <w:rPr>
                      <w:rFonts w:ascii="Arial" w:cs="Arial" w:eastAsia="Arial" w:hAnsi="Arial"/>
                      <w:b/>
                      <w:bCs/>
                      <w:color w:val="C0392B"/>
                      <w:sz w:val="40"/>
                      <w:szCs w:val="40"/>
                    </w:rPr>
                    <w:t xml:space="preserve">■  HIGH RISK</w:t>
                  </w:r>
                </w:p>
                <w:p>
                  <w:pPr>
                    <w:spacing w:after="0" w:before="0"/>
                    <w:jc w:val="center"/>
                  </w:pPr>
                  <w:r>
                    <w:rPr>
                      <w:rFonts w:ascii="Arial" w:cs="Arial" w:eastAsia="Arial" w:hAnsi="Arial"/>
                      <w:color w:val="666666"/>
                      <w:sz w:val="18"/>
                      <w:szCs w:val="18"/>
                    </w:rPr>
                    <w:t xml:space="preserve">Significant Gaps Across</w:t>
                  </w:r>
                </w:p>
                <w:p>
                  <w:pPr>
                    <w:spacing w:after="0" w:before="0"/>
                    <w:jc w:val="center"/>
                  </w:pPr>
                  <w:r>
                    <w:rPr>
                      <w:rFonts w:ascii="Arial" w:cs="Arial" w:eastAsia="Arial" w:hAnsi="Arial"/>
                      <w:color w:val="666666"/>
                      <w:sz w:val="18"/>
                      <w:szCs w:val="18"/>
                    </w:rPr>
                    <w:t xml:space="preserve">Multiple Domains</w:t>
                  </w:r>
                </w:p>
              </w:tc>
              <w:tc>
                <w:tcPr>
                  <w:tcBorders>
                    <w:top w:val="none" w:color="FFFFFF" w:sz="0"/>
                    <w:left w:val="single" w:color="C0392B" w:sz="8"/>
                    <w:bottom w:val="none" w:color="FFFFFF" w:sz="0"/>
                    <w:right w:val="none" w:color="FFFFFF" w:sz="0"/>
                  </w:tcBorders>
                  <w:shd w:fill="FEF0EF" w:val="clear"/>
                  <w:tcMar>
                    <w:top w:type="dxa" w:w="160"/>
                    <w:left w:type="dxa" w:w="280"/>
                    <w:bottom w:type="dxa" w:w="160"/>
                    <w:right w:type="dxa" w:w="200"/>
                  </w:tcMar>
                  <w:vAlign w:val="center"/>
                </w:tcPr>
                <w:p>
                  <w:pPr>
                    <w:spacing w:after="40" w:before="0"/>
                    <w:jc w:val="center"/>
                  </w:pPr>
                  <w:r>
                    <w:rPr>
                      <w:rFonts w:ascii="Arial" w:cs="Arial" w:eastAsia="Arial" w:hAnsi="Arial"/>
                      <w:b/>
                      <w:bCs/>
                      <w:color w:val="C0392B"/>
                      <w:sz w:val="80"/>
                      <w:szCs w:val="80"/>
                    </w:rPr>
                    <w:t xml:space="preserve">{Overall Score}</w:t>
                  </w:r>
                </w:p>
                <w:p>
                  <w:pPr>
                    <w:spacing w:after="0" w:before="0"/>
                    <w:jc w:val="center"/>
                  </w:pPr>
                  <w:r>
                    <w:rPr>
                      <w:rFonts w:ascii="Arial" w:cs="Arial" w:eastAsia="Arial" w:hAnsi="Arial"/>
                      <w:i/>
                      <w:iCs/>
                      <w:color w:val="888888"/>
                      <w:sz w:val="18"/>
                      <w:szCs w:val="18"/>
                    </w:rPr>
                    <w:t xml:space="preserve">Overall Score</w:t>
                  </w:r>
                </w:p>
              </w:tc>
            </w:tr>
          </w:tbl>
          <w:p/>
        </w:tc>
      </w:tr>
    </w:tbl>
    <w:p>
      <w:pPr>
        <w:spacing w:after="0" w:before="360"/>
      </w:pPr>
    </w:p>
    <w:p>
      <w:pPr>
        <w:pStyle w:val="Heading1"/>
        <w:pBdr>
          <w:bottom w:val="single" w:color="C0392B" w:sz="8" w:space="4"/>
        </w:pBdr>
        <w:spacing w:after="160" w:before="320"/>
      </w:pPr>
      <w:r>
        <w:rPr>
          <w:rFonts w:ascii="Arial" w:cs="Arial" w:eastAsia="Arial" w:hAnsi="Arial"/>
          <w:b/>
          <w:bCs/>
          <w:color w:val="1A1A2E"/>
          <w:sz w:val="32"/>
          <w:szCs w:val="32"/>
        </w:rPr>
        <w:t xml:space="preserve">What This Result Means</w:t>
      </w:r>
    </w:p>
    <w:p>
      <w:pPr>
        <w:spacing w:after="80" w:before="80"/>
      </w:pPr>
      <w:r>
        <w:rPr>
          <w:rFonts w:ascii="Arial" w:cs="Arial" w:eastAsia="Arial" w:hAnsi="Arial"/>
          <w:sz w:val="22"/>
          <w:szCs w:val="22"/>
        </w:rPr>
        <w:t xml:space="preserve">Your score indicates that menopause-related support is largely informal, implicit or undocumented across the organisation. While some support may exist through general HR, wellbeing or flexible working arrangements, it is not sufficiently explicit, consistent or accountable to function as a Menopause Action Plan.</w:t>
      </w:r>
    </w:p>
    <w:p>
      <w:pPr>
        <w:spacing w:after="0" w:before="80"/>
      </w:pPr>
    </w:p>
    <w:p>
      <w:pPr>
        <w:spacing w:after="80" w:before="80"/>
      </w:pPr>
      <w:r>
        <w:rPr>
          <w:rFonts w:ascii="Arial" w:cs="Arial" w:eastAsia="Arial" w:hAnsi="Arial"/>
          <w:b/>
          <w:bCs/>
          <w:color w:val="C0392B"/>
          <w:sz w:val="22"/>
          <w:szCs w:val="22"/>
        </w:rPr>
        <w:t xml:space="preserve">This is common in organisations where menopause has not previously been named as a workplace issue, and where managers have not been expected to respond to menopause-related needs as part of their role.</w:t>
      </w:r>
    </w:p>
    <w:p>
      <w:pPr>
        <w:spacing w:after="0" w:before="200"/>
      </w:pPr>
    </w:p>
    <w:p>
      <w:pPr>
        <w:pStyle w:val="Heading1"/>
        <w:pBdr>
          <w:bottom w:val="single" w:color="C0392B" w:sz="8" w:space="4"/>
        </w:pBdr>
        <w:spacing w:after="160" w:before="320"/>
      </w:pPr>
      <w:r>
        <w:rPr>
          <w:rFonts w:ascii="Arial" w:cs="Arial" w:eastAsia="Arial" w:hAnsi="Arial"/>
          <w:b/>
          <w:bCs/>
          <w:color w:val="1A1A2E"/>
          <w:sz w:val="32"/>
          <w:szCs w:val="32"/>
        </w:rPr>
        <w:t xml:space="preserve">What This Does Not Mean</w:t>
      </w:r>
    </w:p>
    <w:p>
      <w:pPr>
        <w:pStyle w:val="ListParagraph"/>
        <w:numPr>
          <w:ilvl w:val="0"/>
          <w:numId w:val="2"/>
        </w:numPr>
        <w:spacing w:after="60" w:before="60"/>
      </w:pPr>
      <w:r>
        <w:rPr>
          <w:rFonts w:ascii="Arial" w:cs="Arial" w:eastAsia="Arial" w:hAnsi="Arial"/>
          <w:sz w:val="22"/>
          <w:szCs w:val="22"/>
        </w:rPr>
        <w:t xml:space="preserve">It does not mean the organisation has failed to care for employees</w:t>
      </w:r>
    </w:p>
    <w:p>
      <w:pPr>
        <w:pStyle w:val="ListParagraph"/>
        <w:numPr>
          <w:ilvl w:val="0"/>
          <w:numId w:val="2"/>
        </w:numPr>
        <w:spacing w:after="60" w:before="60"/>
      </w:pPr>
      <w:r>
        <w:rPr>
          <w:rFonts w:ascii="Arial" w:cs="Arial" w:eastAsia="Arial" w:hAnsi="Arial"/>
          <w:sz w:val="22"/>
          <w:szCs w:val="22"/>
        </w:rPr>
        <w:t xml:space="preserve">It does not imply wrongdoing or neglect</w:t>
      </w:r>
    </w:p>
    <w:p>
      <w:pPr>
        <w:pStyle w:val="ListParagraph"/>
        <w:numPr>
          <w:ilvl w:val="0"/>
          <w:numId w:val="2"/>
        </w:numPr>
        <w:spacing w:after="60" w:before="60"/>
      </w:pPr>
      <w:r>
        <w:rPr>
          <w:rFonts w:ascii="Arial" w:cs="Arial" w:eastAsia="Arial" w:hAnsi="Arial"/>
          <w:sz w:val="22"/>
          <w:szCs w:val="22"/>
        </w:rPr>
        <w:t xml:space="preserve">It does not mean support has been absent</w:t>
      </w:r>
    </w:p>
    <w:p>
      <w:pPr>
        <w:spacing w:after="0" w:before="120"/>
      </w:pPr>
    </w:p>
    <w:p>
      <w:pPr>
        <w:spacing w:after="80" w:before="80"/>
      </w:pPr>
      <w:r>
        <w:rPr>
          <w:rFonts w:ascii="Arial" w:cs="Arial" w:eastAsia="Arial" w:hAnsi="Arial"/>
          <w:i/>
          <w:iCs/>
          <w:color w:val="555555"/>
          <w:sz w:val="22"/>
          <w:szCs w:val="22"/>
        </w:rPr>
        <w:t xml:space="preserve">Rather, it reflects that menopause-specific design has not yet been put in place.</w:t>
      </w:r>
    </w:p>
    <w:p>
      <w:pPr>
        <w:spacing w:after="0" w:before="200"/>
      </w:pPr>
    </w:p>
    <w:p>
      <w:pPr>
        <w:pStyle w:val="Heading1"/>
        <w:pBdr>
          <w:bottom w:val="single" w:color="C0392B" w:sz="8" w:space="4"/>
        </w:pBdr>
        <w:spacing w:after="160" w:before="320"/>
      </w:pPr>
      <w:r>
        <w:rPr>
          <w:rFonts w:ascii="Arial" w:cs="Arial" w:eastAsia="Arial" w:hAnsi="Arial"/>
          <w:b/>
          <w:bCs/>
          <w:color w:val="1A1A2E"/>
          <w:sz w:val="32"/>
          <w:szCs w:val="32"/>
        </w:rPr>
        <w:t xml:space="preserve">Why This Matters</w:t>
      </w:r>
    </w:p>
    <w:p>
      <w:pPr>
        <w:spacing w:after="80" w:before="80"/>
      </w:pPr>
      <w:r>
        <w:rPr>
          <w:rFonts w:ascii="Arial" w:cs="Arial" w:eastAsia="Arial" w:hAnsi="Arial"/>
          <w:sz w:val="22"/>
          <w:szCs w:val="22"/>
        </w:rPr>
        <w:t xml:space="preserve">Without explicit policy, leadership capability, adjustment pathways, awareness and accountability:</w:t>
      </w:r>
    </w:p>
    <w:p>
      <w:pPr>
        <w:spacing w:after="0" w:before="80"/>
      </w:pPr>
    </w:p>
    <w:p>
      <w:pPr>
        <w:pStyle w:val="ListParagraph"/>
        <w:numPr>
          <w:ilvl w:val="0"/>
          <w:numId w:val="2"/>
        </w:numPr>
        <w:spacing w:after="60" w:before="60"/>
      </w:pPr>
      <w:r>
        <w:rPr>
          <w:rFonts w:ascii="Arial" w:cs="Arial" w:eastAsia="Arial" w:hAnsi="Arial"/>
          <w:sz w:val="22"/>
          <w:szCs w:val="22"/>
        </w:rPr>
        <w:t xml:space="preserve">Support becomes manager-dependent and inconsistent</w:t>
      </w:r>
    </w:p>
    <w:p>
      <w:pPr>
        <w:pStyle w:val="ListParagraph"/>
        <w:numPr>
          <w:ilvl w:val="0"/>
          <w:numId w:val="2"/>
        </w:numPr>
        <w:spacing w:after="60" w:before="60"/>
      </w:pPr>
      <w:r>
        <w:rPr>
          <w:rFonts w:ascii="Arial" w:cs="Arial" w:eastAsia="Arial" w:hAnsi="Arial"/>
          <w:sz w:val="22"/>
          <w:szCs w:val="22"/>
        </w:rPr>
        <w:t xml:space="preserve">Employees may self-manage at personal cost</w:t>
      </w:r>
    </w:p>
    <w:p>
      <w:pPr>
        <w:pStyle w:val="ListParagraph"/>
        <w:numPr>
          <w:ilvl w:val="0"/>
          <w:numId w:val="2"/>
        </w:numPr>
        <w:spacing w:after="60" w:before="60"/>
      </w:pPr>
      <w:r>
        <w:rPr>
          <w:rFonts w:ascii="Arial" w:cs="Arial" w:eastAsia="Arial" w:hAnsi="Arial"/>
          <w:sz w:val="22"/>
          <w:szCs w:val="22"/>
        </w:rPr>
        <w:t xml:space="preserve">Absence, presenteeism and preventable exits increase</w:t>
      </w:r>
    </w:p>
    <w:p>
      <w:pPr>
        <w:pStyle w:val="ListParagraph"/>
        <w:numPr>
          <w:ilvl w:val="0"/>
          <w:numId w:val="2"/>
        </w:numPr>
        <w:spacing w:after="60" w:before="60"/>
      </w:pPr>
      <w:r>
        <w:rPr>
          <w:rFonts w:ascii="Arial" w:cs="Arial" w:eastAsia="Arial" w:hAnsi="Arial"/>
          <w:sz w:val="22"/>
          <w:szCs w:val="22"/>
        </w:rPr>
        <w:t xml:space="preserve">The organisation may struggle to evidence reasonable steps if challenged</w:t>
      </w:r>
    </w:p>
    <w:p>
      <w:pPr>
        <w:spacing w:after="0" w:before="200"/>
      </w:pPr>
    </w:p>
    <w:p>
      <w:pPr>
        <w:pStyle w:val="Heading1"/>
        <w:pBdr>
          <w:bottom w:val="single" w:color="C0392B" w:sz="8" w:space="4"/>
        </w:pBdr>
        <w:spacing w:after="160" w:before="320"/>
      </w:pPr>
      <w:r>
        <w:rPr>
          <w:rFonts w:ascii="Arial" w:cs="Arial" w:eastAsia="Arial" w:hAnsi="Arial"/>
          <w:b/>
          <w:bCs/>
          <w:color w:val="1A1A2E"/>
          <w:sz w:val="32"/>
          <w:szCs w:val="32"/>
        </w:rPr>
        <w:t xml:space="preserve">Recommended Next Step</w:t>
      </w:r>
    </w:p>
    <w:p>
      <w:pPr>
        <w:spacing w:after="80" w:before="80"/>
      </w:pPr>
      <w:r>
        <w:rPr>
          <w:rFonts w:ascii="Arial" w:cs="Arial" w:eastAsia="Arial" w:hAnsi="Arial"/>
          <w:sz w:val="22"/>
          <w:szCs w:val="22"/>
        </w:rPr>
        <w:t xml:space="preserve">A structured Menopause Action Plan (MAP) is strongly recommended and will soon be a legislative requirement for your organisation. At this level, MAP work typically focuses on:</w:t>
      </w:r>
    </w:p>
    <w:p>
      <w:pPr>
        <w:spacing w:after="0" w:before="80"/>
      </w:pPr>
    </w:p>
    <w:p>
      <w:pPr>
        <w:pStyle w:val="ListParagraph"/>
        <w:numPr>
          <w:ilvl w:val="0"/>
          <w:numId w:val="2"/>
        </w:numPr>
        <w:spacing w:after="60" w:before="60"/>
      </w:pPr>
      <w:r>
        <w:rPr>
          <w:rFonts w:ascii="Arial" w:cs="Arial" w:eastAsia="Arial" w:hAnsi="Arial"/>
          <w:sz w:val="22"/>
          <w:szCs w:val="22"/>
        </w:rPr>
        <w:t xml:space="preserve">Establishing clear policy and governance foundations</w:t>
      </w:r>
    </w:p>
    <w:p>
      <w:pPr>
        <w:pStyle w:val="ListParagraph"/>
        <w:numPr>
          <w:ilvl w:val="0"/>
          <w:numId w:val="2"/>
        </w:numPr>
        <w:spacing w:after="60" w:before="60"/>
      </w:pPr>
      <w:r>
        <w:rPr>
          <w:rFonts w:ascii="Arial" w:cs="Arial" w:eastAsia="Arial" w:hAnsi="Arial"/>
          <w:sz w:val="22"/>
          <w:szCs w:val="22"/>
        </w:rPr>
        <w:t xml:space="preserve">Building baseline leadership capability</w:t>
      </w:r>
    </w:p>
    <w:p>
      <w:pPr>
        <w:pStyle w:val="ListParagraph"/>
        <w:numPr>
          <w:ilvl w:val="0"/>
          <w:numId w:val="2"/>
        </w:numPr>
        <w:spacing w:after="60" w:before="60"/>
      </w:pPr>
      <w:r>
        <w:rPr>
          <w:rFonts w:ascii="Arial" w:cs="Arial" w:eastAsia="Arial" w:hAnsi="Arial"/>
          <w:sz w:val="22"/>
          <w:szCs w:val="22"/>
        </w:rPr>
        <w:t xml:space="preserve">Clarifying adjustment pathways</w:t>
      </w:r>
    </w:p>
    <w:p>
      <w:pPr>
        <w:pStyle w:val="ListParagraph"/>
        <w:numPr>
          <w:ilvl w:val="0"/>
          <w:numId w:val="2"/>
        </w:numPr>
        <w:spacing w:after="60" w:before="60"/>
      </w:pPr>
      <w:r>
        <w:rPr>
          <w:rFonts w:ascii="Arial" w:cs="Arial" w:eastAsia="Arial" w:hAnsi="Arial"/>
          <w:sz w:val="22"/>
          <w:szCs w:val="22"/>
        </w:rPr>
        <w:t xml:space="preserve">Introducing measurement and accountability</w:t>
      </w:r>
    </w:p>
    <w:p>
      <w:pPr>
        <w:spacing w:after="0" w:before="160"/>
      </w:pPr>
    </w:p>
    <w:p>
      <w:pPr>
        <w:spacing w:after="80" w:before="80"/>
      </w:pPr>
      <w:r>
        <w:rPr>
          <w:rFonts w:ascii="Arial" w:cs="Arial" w:eastAsia="Arial" w:hAnsi="Arial"/>
          <w:i/>
          <w:iCs/>
          <w:color w:val="444444"/>
          <w:sz w:val="22"/>
          <w:szCs w:val="22"/>
        </w:rPr>
        <w:t xml:space="preserve">Early action significantly reduces downstream risk and implementation burden.</w:t>
      </w:r>
    </w:p>
    <w:p>
      <w:pPr>
        <w:spacing w:after="0" w:before="360"/>
      </w:pPr>
    </w:p>
    <w:p>
      <w:pPr>
        <w:pStyle w:val="Heading1"/>
        <w:pBdr>
          <w:bottom w:val="single" w:color="C0392B" w:sz="8" w:space="4"/>
        </w:pBdr>
        <w:spacing w:after="160" w:before="320"/>
      </w:pPr>
      <w:r>
        <w:rPr>
          <w:rFonts w:ascii="Arial" w:cs="Arial" w:eastAsia="Arial" w:hAnsi="Arial"/>
          <w:b/>
          <w:bCs/>
          <w:color w:val="1A1A2E"/>
          <w:sz w:val="32"/>
          <w:szCs w:val="32"/>
        </w:rPr>
        <w:t xml:space="preserve">Risk Level Reference</w:t>
      </w:r>
    </w:p>
    <w:p>
      <w:pPr>
        <w:spacing w:after="80" w:before="80"/>
      </w:pPr>
      <w:r>
        <w:rPr>
          <w:rFonts w:ascii="Arial" w:cs="Arial" w:eastAsia="Arial" w:hAnsi="Arial"/>
          <w:sz w:val="22"/>
          <w:szCs w:val="22"/>
        </w:rPr>
        <w:t xml:space="preserve">The three possible outcomes of the Menopause Readiness QuickScan: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0392B" w:sz="6"/>
              <w:left w:val="single" w:color="DDDDDD" w:sz="1"/>
              <w:bottom w:val="single" w:color="DDDDDD" w:sz="1"/>
              <w:right w:val="single" w:color="DDDDDD" w:sz="1"/>
            </w:tcBorders>
            <w:shd w:fill="FDECEA" w:val="clear"/>
            <w:tcMar>
              <w:top w:type="dxa" w:w="160"/>
              <w:left w:type="dxa" w:w="200"/>
              <w:bottom w:type="dxa" w:w="160"/>
              <w:right w:type="dxa" w:w="200"/>
            </w:tcMar>
            <w:vAlign w:val="top"/>
          </w:tcPr>
          <w:p>
            <w:pPr>
              <w:spacing w:after="80" w:before="0"/>
              <w:jc w:val="center"/>
            </w:pPr>
            <w:r>
              <w:rPr>
                <w:rFonts w:ascii="Arial" w:cs="Arial" w:eastAsia="Arial" w:hAnsi="Arial"/>
                <w:b/>
                <w:bCs/>
                <w:color w:val="C0392B"/>
                <w:sz w:val="22"/>
                <w:szCs w:val="22"/>
              </w:rPr>
              <w:t xml:space="preserve">■  High Risk</w:t>
            </w:r>
          </w:p>
          <w:p>
            <w:pPr>
              <w:spacing w:after="0" w:before="0"/>
              <w:jc w:val="center"/>
            </w:pPr>
            <w:r>
              <w:rPr>
                <w:rFonts w:ascii="Arial" w:cs="Arial" w:eastAsia="Arial" w:hAnsi="Arial"/>
                <w:color w:val="555555"/>
                <w:sz w:val="18"/>
                <w:szCs w:val="18"/>
              </w:rPr>
              <w:t xml:space="preserve">Minimal or no structures in place</w:t>
            </w:r>
          </w:p>
        </w:tc>
        <w:tc>
          <w:tcPr>
            <w:tcBorders>
              <w:top w:val="single" w:color="D4600A" w:sz="6"/>
              <w:left w:val="single" w:color="DDDDDD" w:sz="1"/>
              <w:bottom w:val="single" w:color="DDDDDD" w:sz="1"/>
              <w:right w:val="single" w:color="DDDDDD" w:sz="1"/>
            </w:tcBorders>
            <w:shd w:fill="FFF4EE" w:val="clear"/>
            <w:tcMar>
              <w:top w:type="dxa" w:w="160"/>
              <w:left w:type="dxa" w:w="200"/>
              <w:bottom w:type="dxa" w:w="160"/>
              <w:right w:type="dxa" w:w="200"/>
            </w:tcMar>
            <w:vAlign w:val="top"/>
          </w:tcPr>
          <w:p>
            <w:pPr>
              <w:spacing w:after="80" w:before="0"/>
              <w:jc w:val="center"/>
            </w:pPr>
            <w:r>
              <w:rPr>
                <w:rFonts w:ascii="Arial" w:cs="Arial" w:eastAsia="Arial" w:hAnsi="Arial"/>
                <w:b/>
                <w:bCs/>
                <w:color w:val="D4600A"/>
                <w:sz w:val="22"/>
                <w:szCs w:val="22"/>
              </w:rPr>
              <w:t xml:space="preserve">■  Moderate Risk</w:t>
            </w:r>
          </w:p>
          <w:p>
            <w:pPr>
              <w:spacing w:after="0" w:before="0"/>
              <w:jc w:val="center"/>
            </w:pPr>
            <w:r>
              <w:rPr>
                <w:rFonts w:ascii="Arial" w:cs="Arial" w:eastAsia="Arial" w:hAnsi="Arial"/>
                <w:color w:val="555555"/>
                <w:sz w:val="18"/>
                <w:szCs w:val="18"/>
              </w:rPr>
              <w:t xml:space="preserve">Inconsistent or not embedded</w:t>
            </w:r>
          </w:p>
        </w:tc>
        <w:tc>
          <w:tcPr>
            <w:tcBorders>
              <w:top w:val="single" w:color="1E7E34" w:sz="6"/>
              <w:left w:val="single" w:color="DDDDDD" w:sz="1"/>
              <w:bottom w:val="single" w:color="DDDDDD" w:sz="1"/>
              <w:right w:val="single" w:color="DDDDDD" w:sz="1"/>
            </w:tcBorders>
            <w:shd w:fill="EAF7EE" w:val="clear"/>
            <w:tcMar>
              <w:top w:type="dxa" w:w="160"/>
              <w:left w:type="dxa" w:w="200"/>
              <w:bottom w:type="dxa" w:w="160"/>
              <w:right w:type="dxa" w:w="200"/>
            </w:tcMar>
            <w:vAlign w:val="top"/>
          </w:tcPr>
          <w:p>
            <w:pPr>
              <w:spacing w:after="80" w:before="0"/>
              <w:jc w:val="center"/>
            </w:pPr>
            <w:r>
              <w:rPr>
                <w:rFonts w:ascii="Arial" w:cs="Arial" w:eastAsia="Arial" w:hAnsi="Arial"/>
                <w:b/>
                <w:bCs/>
                <w:color w:val="1E7E34"/>
                <w:sz w:val="22"/>
                <w:szCs w:val="22"/>
              </w:rPr>
              <w:t xml:space="preserve">■  Low Risk</w:t>
            </w:r>
          </w:p>
          <w:p>
            <w:pPr>
              <w:spacing w:after="0" w:before="0"/>
              <w:jc w:val="center"/>
            </w:pPr>
            <w:r>
              <w:rPr>
                <w:rFonts w:ascii="Arial" w:cs="Arial" w:eastAsia="Arial" w:hAnsi="Arial"/>
                <w:color w:val="555555"/>
                <w:sz w:val="18"/>
                <w:szCs w:val="18"/>
              </w:rPr>
              <w:t xml:space="preserve">Embedded and consistently applied</w:t>
            </w:r>
          </w:p>
        </w:tc>
      </w:tr>
    </w:tbl>
    <w:p>
      <w:pPr>
        <w:spacing w:after="0" w:before="400"/>
      </w:pPr>
    </w:p>
    <w:p>
      <w:pPr>
        <w:pBdr>
          <w:top w:val="single" w:color="CCCCCC" w:sz="4" w:space="8"/>
        </w:pBdr>
        <w:spacing w:after="0" w:before="240"/>
        <w:jc w:val="center"/>
      </w:pPr>
      <w:r>
        <w:rPr>
          <w:rFonts w:ascii="Arial" w:cs="Arial" w:eastAsia="Arial" w:hAnsi="Arial"/>
          <w:color w:val="999999"/>
          <w:sz w:val="18"/>
          <w:szCs w:val="18"/>
        </w:rPr>
        <w:t xml:space="preserve">Menopause Readiness Assessment  |  Confidential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2C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2026-03-28T05:16:30.692Z</dcterms:created>
  <dcterms:modified xsi:type="dcterms:W3CDTF">2026-03-28T05:16:30.693Z</dcterms:modified>
</cp:coreProperties>
</file>

<file path=docProps/custom.xml><?xml version="1.0" encoding="utf-8"?>
<Properties xmlns="http://schemas.openxmlformats.org/officeDocument/2006/custom-properties" xmlns:vt="http://schemas.openxmlformats.org/officeDocument/2006/docPropsVTypes"/>
</file>