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1CD0" w14:textId="77777777" w:rsidR="002A5AE2" w:rsidRDefault="002A5AE2" w:rsidP="002A5AE2">
      <w:pPr>
        <w:spacing w:before="200" w:after="80"/>
        <w:jc w:val="center"/>
      </w:pPr>
      <w:r>
        <w:rPr>
          <w:b/>
          <w:bCs/>
          <w:color w:val="1F3864"/>
          <w:spacing w:val="20"/>
          <w:sz w:val="34"/>
          <w:szCs w:val="34"/>
        </w:rPr>
        <w:t>NATIONAL UNIVERSITY OF SAN MARCOS</w:t>
      </w:r>
    </w:p>
    <w:p w14:paraId="4FCF43AF" w14:textId="77777777" w:rsidR="002A5AE2" w:rsidRDefault="002A5AE2" w:rsidP="002A5AE2">
      <w:pPr>
        <w:pBdr>
          <w:bottom w:val="single" w:sz="12" w:space="8" w:color="2E75B6"/>
        </w:pBdr>
        <w:spacing w:after="240"/>
        <w:jc w:val="center"/>
      </w:pPr>
    </w:p>
    <w:p w14:paraId="5D646E88" w14:textId="77777777" w:rsidR="002A5AE2" w:rsidRDefault="002A5AE2" w:rsidP="002A5AE2">
      <w:pPr>
        <w:keepNext/>
        <w:spacing w:before="120" w:after="60"/>
        <w:jc w:val="center"/>
      </w:pPr>
      <w:r>
        <w:rPr>
          <w:noProof/>
        </w:rPr>
        <w:drawing>
          <wp:inline distT="0" distB="0" distL="0" distR="0" wp14:anchorId="3BEEE428" wp14:editId="56B3B429">
            <wp:extent cx="1419225" cy="2095500"/>
            <wp:effectExtent l="0" t="0" r="0" b="0"/>
            <wp:docPr id="1" name="image1.jpeg"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19225" cy="2095500"/>
                    </a:xfrm>
                    <a:prstGeom prst="rect">
                      <a:avLst/>
                    </a:prstGeom>
                  </pic:spPr>
                </pic:pic>
              </a:graphicData>
            </a:graphic>
          </wp:inline>
        </w:drawing>
      </w:r>
    </w:p>
    <w:p w14:paraId="70F14F10" w14:textId="3E04DE93" w:rsidR="002A5AE2" w:rsidRPr="001A5ED0" w:rsidRDefault="002A5AE2" w:rsidP="002A5AE2">
      <w:pPr>
        <w:spacing w:before="200" w:after="360"/>
        <w:ind w:left="400" w:right="400"/>
        <w:jc w:val="center"/>
      </w:pPr>
      <w:r>
        <w:rPr>
          <w:b/>
          <w:bCs/>
          <w:color w:val="595959"/>
          <w:sz w:val="26"/>
          <w:szCs w:val="26"/>
        </w:rPr>
        <w:br/>
      </w:r>
      <w:r w:rsidRPr="001A5ED0">
        <w:rPr>
          <w:b/>
          <w:bCs/>
          <w:color w:val="595959"/>
          <w:sz w:val="26"/>
          <w:szCs w:val="26"/>
        </w:rPr>
        <w:t>Doctoral Program in Deep Tech, Artificial Intelligence &amp; Emerging Technologies</w:t>
      </w:r>
      <w:r>
        <w:rPr>
          <w:b/>
          <w:bCs/>
          <w:color w:val="595959"/>
          <w:sz w:val="26"/>
          <w:szCs w:val="26"/>
        </w:rPr>
        <w:br/>
      </w:r>
      <w:r w:rsidRPr="002A5AE2">
        <w:t>Faculty of Systems Engineering and Informatics</w:t>
      </w:r>
    </w:p>
    <w:p w14:paraId="74731C16" w14:textId="1152F684" w:rsidR="002A5AE2" w:rsidRPr="001A5ED0" w:rsidRDefault="002A5AE2" w:rsidP="002A5AE2">
      <w:pPr>
        <w:spacing w:after="80"/>
        <w:jc w:val="center"/>
      </w:pPr>
      <w:r>
        <w:rPr>
          <w:b/>
          <w:bCs/>
          <w:color w:val="2E75B6"/>
          <w:spacing w:val="40"/>
          <w:sz w:val="30"/>
          <w:szCs w:val="30"/>
          <w:u w:val="single"/>
        </w:rPr>
        <w:br/>
      </w:r>
      <w:r>
        <w:rPr>
          <w:b/>
          <w:bCs/>
          <w:color w:val="2E75B6"/>
          <w:spacing w:val="40"/>
          <w:sz w:val="30"/>
          <w:szCs w:val="30"/>
          <w:u w:val="single"/>
        </w:rPr>
        <w:br/>
      </w:r>
      <w:r w:rsidRPr="001A5ED0">
        <w:rPr>
          <w:b/>
          <w:bCs/>
          <w:color w:val="2E75B6"/>
          <w:spacing w:val="40"/>
          <w:sz w:val="30"/>
          <w:szCs w:val="30"/>
          <w:u w:val="single"/>
        </w:rPr>
        <w:t xml:space="preserve">ASSIGNMENT </w:t>
      </w:r>
      <w:r>
        <w:rPr>
          <w:b/>
          <w:bCs/>
          <w:color w:val="2E75B6"/>
          <w:spacing w:val="40"/>
          <w:sz w:val="30"/>
          <w:szCs w:val="30"/>
          <w:u w:val="single"/>
        </w:rPr>
        <w:t>N° 3</w:t>
      </w:r>
    </w:p>
    <w:p w14:paraId="7F095AD2" w14:textId="6EFC2039" w:rsidR="002A5AE2" w:rsidRPr="001A5ED0" w:rsidRDefault="002A5AE2" w:rsidP="002A5AE2">
      <w:pPr>
        <w:spacing w:after="480"/>
        <w:jc w:val="center"/>
      </w:pPr>
      <w:r w:rsidRPr="002A5AE2">
        <w:rPr>
          <w:b/>
          <w:bCs/>
          <w:color w:val="1F3864"/>
          <w:sz w:val="44"/>
          <w:szCs w:val="44"/>
        </w:rPr>
        <w:t>Research Protocol Development</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1900"/>
      </w:tblGrid>
      <w:tr w:rsidR="002A5AE2" w14:paraId="40F47EF7" w14:textId="77777777" w:rsidTr="005D3AE3">
        <w:tblPrEx>
          <w:tblCellMar>
            <w:top w:w="0" w:type="dxa"/>
            <w:bottom w:w="0" w:type="dxa"/>
          </w:tblCellMar>
        </w:tblPrEx>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24EE1A9C" w14:textId="77777777" w:rsidR="002A5AE2" w:rsidRDefault="002A5AE2" w:rsidP="005D3AE3">
            <w:pPr>
              <w:spacing w:after="0"/>
            </w:pPr>
            <w:r>
              <w:rPr>
                <w:b/>
                <w:bCs/>
                <w:color w:val="1F3864"/>
                <w:sz w:val="21"/>
                <w:szCs w:val="21"/>
              </w:rPr>
              <w:t>Professor</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5D7F90F0" w14:textId="4B58AE08" w:rsidR="002A5AE2" w:rsidRDefault="002A5AE2" w:rsidP="005D3AE3">
            <w:pPr>
              <w:spacing w:after="0"/>
            </w:pPr>
            <w:r w:rsidRPr="002A5AE2">
              <w:t>Dr. Loveleen Gaur</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01E81EDC" w14:textId="77777777" w:rsidR="002A5AE2" w:rsidRDefault="002A5AE2" w:rsidP="005D3AE3">
            <w:pPr>
              <w:spacing w:after="0"/>
            </w:pPr>
          </w:p>
        </w:tc>
      </w:tr>
      <w:tr w:rsidR="002A5AE2" w14:paraId="4A68688A" w14:textId="77777777" w:rsidTr="005D3AE3">
        <w:tblPrEx>
          <w:tblCellMar>
            <w:top w:w="0" w:type="dxa"/>
            <w:bottom w:w="0" w:type="dxa"/>
          </w:tblCellMar>
        </w:tblPrEx>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12AE2F7C" w14:textId="34F23FDE" w:rsidR="002A5AE2" w:rsidRDefault="002A5AE2" w:rsidP="005D3AE3">
            <w:pPr>
              <w:spacing w:after="0"/>
            </w:pPr>
            <w:r>
              <w:rPr>
                <w:b/>
                <w:bCs/>
                <w:color w:val="1F3864"/>
                <w:sz w:val="21"/>
                <w:szCs w:val="21"/>
              </w:rPr>
              <w:t>Student</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3F605BE6" w14:textId="77777777" w:rsidR="002A5AE2" w:rsidRDefault="002A5AE2" w:rsidP="005D3AE3">
            <w:pPr>
              <w:spacing w:after="0"/>
            </w:pPr>
            <w:r>
              <w:rPr>
                <w:color w:val="262626"/>
                <w:sz w:val="21"/>
                <w:szCs w:val="21"/>
              </w:rPr>
              <w:t>Acosta Ticona, Angela Milén</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6EB254B4" w14:textId="77777777" w:rsidR="002A5AE2" w:rsidRDefault="002A5AE2" w:rsidP="005D3AE3">
            <w:pPr>
              <w:spacing w:after="0"/>
              <w:jc w:val="right"/>
            </w:pPr>
            <w:r>
              <w:rPr>
                <w:color w:val="595959"/>
                <w:sz w:val="21"/>
                <w:szCs w:val="21"/>
              </w:rPr>
              <w:t>COD. 26207270</w:t>
            </w:r>
          </w:p>
        </w:tc>
      </w:tr>
    </w:tbl>
    <w:p w14:paraId="6AFE617D" w14:textId="77777777" w:rsidR="002A5AE2" w:rsidRDefault="002A5AE2" w:rsidP="002A5AE2">
      <w:pPr>
        <w:spacing w:before="900"/>
        <w:jc w:val="center"/>
        <w:rPr>
          <w:b/>
          <w:bCs/>
          <w:color w:val="1F3864"/>
          <w:sz w:val="26"/>
          <w:szCs w:val="26"/>
        </w:rPr>
      </w:pPr>
      <w:r>
        <w:rPr>
          <w:b/>
          <w:bCs/>
          <w:color w:val="1F3864"/>
          <w:sz w:val="26"/>
          <w:szCs w:val="26"/>
        </w:rPr>
        <w:t>Lima 2026</w:t>
      </w:r>
    </w:p>
    <w:p w14:paraId="3E50127D" w14:textId="77777777" w:rsidR="002A5AE2" w:rsidRDefault="002A5AE2" w:rsidP="002A5AE2">
      <w:pPr>
        <w:spacing w:before="900"/>
        <w:jc w:val="center"/>
        <w:rPr>
          <w:b/>
          <w:bCs/>
          <w:color w:val="1F3864"/>
          <w:sz w:val="26"/>
          <w:szCs w:val="26"/>
        </w:rPr>
      </w:pPr>
    </w:p>
    <w:p w14:paraId="4A329AC8" w14:textId="77777777" w:rsidR="00AF58BD" w:rsidRDefault="00AF58BD"/>
    <w:p w14:paraId="1268D5A8" w14:textId="77777777" w:rsidR="00AF58BD" w:rsidRPr="002A5AE2" w:rsidRDefault="00000000" w:rsidP="002A5AE2">
      <w:pPr>
        <w:pStyle w:val="Ttulo1"/>
        <w:jc w:val="both"/>
        <w:rPr>
          <w:rFonts w:ascii="Arial" w:hAnsi="Arial" w:cs="Arial"/>
          <w:sz w:val="24"/>
          <w:szCs w:val="24"/>
        </w:rPr>
      </w:pPr>
      <w:r w:rsidRPr="002A5AE2">
        <w:rPr>
          <w:rFonts w:ascii="Arial" w:hAnsi="Arial" w:cs="Arial"/>
          <w:sz w:val="24"/>
          <w:szCs w:val="24"/>
        </w:rPr>
        <w:lastRenderedPageBreak/>
        <w:t>Research Protocol — Sustainable Import Patterns in Peru's Paper Products Sector (2022–2026)</w:t>
      </w:r>
    </w:p>
    <w:p w14:paraId="67AD0883"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01 · Title</w:t>
      </w:r>
    </w:p>
    <w:p w14:paraId="742C7AE1"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Sustainable Import Patterns in Peru's Paper Products Sector (2022–2026): An Explanatory Sequential Mixed-Methods Study Combining Machine Learning on Customs Data with Expert Interviews</w:t>
      </w:r>
    </w:p>
    <w:p w14:paraId="6972FC27" w14:textId="77777777" w:rsidR="00AF58BD" w:rsidRPr="002A5AE2" w:rsidRDefault="00000000" w:rsidP="002A5AE2">
      <w:pPr>
        <w:jc w:val="both"/>
        <w:rPr>
          <w:rFonts w:ascii="Arial" w:hAnsi="Arial" w:cs="Arial"/>
          <w:sz w:val="24"/>
          <w:szCs w:val="24"/>
          <w:lang w:val="es-PE"/>
        </w:rPr>
      </w:pPr>
      <w:r w:rsidRPr="002A5AE2">
        <w:rPr>
          <w:rFonts w:ascii="Arial" w:hAnsi="Arial" w:cs="Arial"/>
          <w:i/>
          <w:sz w:val="24"/>
          <w:szCs w:val="24"/>
          <w:lang w:val="es-PE"/>
        </w:rPr>
        <w:t>Título (ES): Patrones de importación sostenible en el sector de productos de papel del Perú (2022–2026): un estudio de métodos mixtos explicativo secuencial que combina aprendizaje automático sobre datos aduaneros y entrevistas a expertos.</w:t>
      </w:r>
    </w:p>
    <w:p w14:paraId="7B404C1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Why this title: it names the phenomenon (sustainable import patterns), the place and period (Peru, 2022–2026), and the design chosen in Deliverables 1 and 2 (explanatory sequential mixed methods). The original project title ("Intelligent model based on machine learning…") centers on building a model, which reads as Design Science, the paradigm rejected in both deliverables.</w:t>
      </w:r>
    </w:p>
    <w:p w14:paraId="6CB40C15"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02 · Abstract</w:t>
      </w:r>
    </w:p>
    <w:p w14:paraId="52407A0A"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Background.</w:t>
      </w:r>
      <w:r w:rsidRPr="002A5AE2">
        <w:rPr>
          <w:rFonts w:ascii="Arial" w:hAnsi="Arial" w:cs="Arial"/>
          <w:sz w:val="24"/>
          <w:szCs w:val="24"/>
        </w:rPr>
        <w:t xml:space="preserve"> Peru imported about US$665 million of paper and paperboard in 2023, yet SUNAT and </w:t>
      </w:r>
      <w:proofErr w:type="spellStart"/>
      <w:r w:rsidRPr="002A5AE2">
        <w:rPr>
          <w:rFonts w:ascii="Arial" w:hAnsi="Arial" w:cs="Arial"/>
          <w:sz w:val="24"/>
          <w:szCs w:val="24"/>
        </w:rPr>
        <w:t>Veritrade</w:t>
      </w:r>
      <w:proofErr w:type="spellEnd"/>
      <w:r w:rsidRPr="002A5AE2">
        <w:rPr>
          <w:rFonts w:ascii="Arial" w:hAnsi="Arial" w:cs="Arial"/>
          <w:sz w:val="24"/>
          <w:szCs w:val="24"/>
        </w:rPr>
        <w:t xml:space="preserve"> customs records contain no environmental variables. As a result, public entities (MINAM, SUNAT, MINCETUR, PRODUCE) and importers cannot tell sustainable paper imports from conventional ones, which limits green public procurement and the National Circular Economy Policy.</w:t>
      </w:r>
    </w:p>
    <w:p w14:paraId="0E96A794"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Objective.</w:t>
      </w:r>
      <w:r w:rsidRPr="002A5AE2">
        <w:rPr>
          <w:rFonts w:ascii="Arial" w:hAnsi="Arial" w:cs="Arial"/>
          <w:sz w:val="24"/>
          <w:szCs w:val="24"/>
        </w:rPr>
        <w:t xml:space="preserve"> To identify the sustainable import patterns that characterize Peru's paper products sector between 2022 and 2026, and to explain them through the perspectives of customs agents, importers and environmental specialists.</w:t>
      </w:r>
    </w:p>
    <w:p w14:paraId="44A7995B"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Methods.</w:t>
      </w:r>
      <w:r w:rsidRPr="002A5AE2">
        <w:rPr>
          <w:rFonts w:ascii="Arial" w:hAnsi="Arial" w:cs="Arial"/>
          <w:sz w:val="24"/>
          <w:szCs w:val="24"/>
        </w:rPr>
        <w:t xml:space="preserve"> Pragmatist paradigm; explanatory sequential mixed-methods design (QUANT → QUAL). In the quantitative phase, sustainability is operationalized through explicit proxies (tariff subheading, country and supplier of origin, certification wording such as FSC/PEFC/ISO 14001, and recycled-content wording). Isolation Forest filters data-quality anomalies, K-Means groups transactions into import profiles, and </w:t>
      </w:r>
      <w:proofErr w:type="spellStart"/>
      <w:r w:rsidRPr="002A5AE2">
        <w:rPr>
          <w:rFonts w:ascii="Arial" w:hAnsi="Arial" w:cs="Arial"/>
          <w:sz w:val="24"/>
          <w:szCs w:val="24"/>
        </w:rPr>
        <w:t>XGBoost</w:t>
      </w:r>
      <w:proofErr w:type="spellEnd"/>
      <w:r w:rsidRPr="002A5AE2">
        <w:rPr>
          <w:rFonts w:ascii="Arial" w:hAnsi="Arial" w:cs="Arial"/>
          <w:sz w:val="24"/>
          <w:szCs w:val="24"/>
        </w:rPr>
        <w:t xml:space="preserve"> with SHAP tests which structured customs fields predict a proxy-based sustainability label. In the qualitative phase, 12–15 purposively sampled experts are interviewed; transcripts undergo hybrid deductive–inductive thematic analysis. Both strands are integrated </w:t>
      </w:r>
      <w:proofErr w:type="gramStart"/>
      <w:r w:rsidRPr="002A5AE2">
        <w:rPr>
          <w:rFonts w:ascii="Arial" w:hAnsi="Arial" w:cs="Arial"/>
          <w:sz w:val="24"/>
          <w:szCs w:val="24"/>
        </w:rPr>
        <w:t>in</w:t>
      </w:r>
      <w:proofErr w:type="gramEnd"/>
      <w:r w:rsidRPr="002A5AE2">
        <w:rPr>
          <w:rFonts w:ascii="Arial" w:hAnsi="Arial" w:cs="Arial"/>
          <w:sz w:val="24"/>
          <w:szCs w:val="24"/>
        </w:rPr>
        <w:t xml:space="preserve"> a joint display.</w:t>
      </w:r>
    </w:p>
    <w:p w14:paraId="6CB30190"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Expected results.</w:t>
      </w:r>
      <w:r w:rsidRPr="002A5AE2">
        <w:rPr>
          <w:rFonts w:ascii="Arial" w:hAnsi="Arial" w:cs="Arial"/>
          <w:sz w:val="24"/>
          <w:szCs w:val="24"/>
        </w:rPr>
        <w:t xml:space="preserve"> A typology of paper-import profiles, a ranking of customs variables associated with sustainability proxies, expert-validated explanations (and challenges) for each pattern, and an evaluation framework that links customs data with sustainability criteria for policy and green procurement.</w:t>
      </w:r>
    </w:p>
    <w:p w14:paraId="2A4FD26C"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lastRenderedPageBreak/>
        <w:t>Keywords:</w:t>
      </w:r>
      <w:r w:rsidRPr="002A5AE2">
        <w:rPr>
          <w:rFonts w:ascii="Arial" w:hAnsi="Arial" w:cs="Arial"/>
          <w:sz w:val="24"/>
          <w:szCs w:val="24"/>
        </w:rPr>
        <w:t xml:space="preserve"> sustainable imports; paper products; machine learning; customs data; mixed methods; circular economy; Peru.</w:t>
      </w:r>
    </w:p>
    <w:p w14:paraId="53483C4B"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03 · Introduction &amp; Problem Statement</w:t>
      </w:r>
    </w:p>
    <w:p w14:paraId="153DF8E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Context</w:t>
      </w:r>
    </w:p>
    <w:p w14:paraId="05820F0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The global paper products industry is under growing pressure to cut its environmental impact, because production is intensive in water, energy and greenhouse-gas emissions. Life-cycle studies show that a product's footprint varies with fiber type (virgin vs. recycled), bleaching process (ECF, TCF, PCF) and energy source; tissue production alone emits about 1,485–1,849 kg </w:t>
      </w:r>
      <w:proofErr w:type="spellStart"/>
      <w:r w:rsidRPr="002A5AE2">
        <w:rPr>
          <w:rFonts w:ascii="Arial" w:hAnsi="Arial" w:cs="Arial"/>
          <w:sz w:val="24"/>
          <w:szCs w:val="24"/>
        </w:rPr>
        <w:t>CO</w:t>
      </w:r>
      <w:r w:rsidRPr="002A5AE2">
        <w:rPr>
          <w:rFonts w:ascii="Cambria Math" w:hAnsi="Cambria Math" w:cs="Cambria Math"/>
          <w:sz w:val="24"/>
          <w:szCs w:val="24"/>
        </w:rPr>
        <w:t>₂</w:t>
      </w:r>
      <w:r w:rsidRPr="002A5AE2">
        <w:rPr>
          <w:rFonts w:ascii="Arial" w:hAnsi="Arial" w:cs="Arial"/>
          <w:sz w:val="24"/>
          <w:szCs w:val="24"/>
        </w:rPr>
        <w:t>eq</w:t>
      </w:r>
      <w:proofErr w:type="spellEnd"/>
      <w:r w:rsidRPr="002A5AE2">
        <w:rPr>
          <w:rFonts w:ascii="Arial" w:hAnsi="Arial" w:cs="Arial"/>
          <w:sz w:val="24"/>
          <w:szCs w:val="24"/>
        </w:rPr>
        <w:t xml:space="preserve"> per </w:t>
      </w:r>
      <w:proofErr w:type="spellStart"/>
      <w:r w:rsidRPr="002A5AE2">
        <w:rPr>
          <w:rFonts w:ascii="Arial" w:hAnsi="Arial" w:cs="Arial"/>
          <w:sz w:val="24"/>
          <w:szCs w:val="24"/>
        </w:rPr>
        <w:t>tonne</w:t>
      </w:r>
      <w:proofErr w:type="spellEnd"/>
      <w:r w:rsidRPr="002A5AE2">
        <w:rPr>
          <w:rFonts w:ascii="Arial" w:hAnsi="Arial" w:cs="Arial"/>
          <w:sz w:val="24"/>
          <w:szCs w:val="24"/>
        </w:rPr>
        <w:t>. High-consumption segments such as toilet paper, paper towels and napkins are therefore central to the shift toward sustainable products.</w:t>
      </w:r>
    </w:p>
    <w:p w14:paraId="6987755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Peru depends heavily on imports in this sector: paper and paperboard imports reached about US$665 million in 2023. Every shipment generates a customs record with the tariff subheading, commercial description, country of origin, FOB and CIF value, weight and quantity.</w:t>
      </w:r>
    </w:p>
    <w:p w14:paraId="0CAD060A"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Problem statement</w:t>
      </w:r>
    </w:p>
    <w:p w14:paraId="64CD5E0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Peruvian foreign-trade databases (SUNAT, </w:t>
      </w:r>
      <w:proofErr w:type="spellStart"/>
      <w:r w:rsidRPr="002A5AE2">
        <w:rPr>
          <w:rFonts w:ascii="Arial" w:hAnsi="Arial" w:cs="Arial"/>
          <w:sz w:val="24"/>
          <w:szCs w:val="24"/>
        </w:rPr>
        <w:t>Veritrade</w:t>
      </w:r>
      <w:proofErr w:type="spellEnd"/>
      <w:r w:rsidRPr="002A5AE2">
        <w:rPr>
          <w:rFonts w:ascii="Arial" w:hAnsi="Arial" w:cs="Arial"/>
          <w:sz w:val="24"/>
          <w:szCs w:val="24"/>
        </w:rPr>
        <w:t>) do not record any environmental variable. No algorithm can discover sustainability in data that contain no sustainability information, so the concept of a "sustainable import" has never been operationalized from customs data in Peru.</w:t>
      </w:r>
    </w:p>
    <w:p w14:paraId="359D662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literature is also fragmented across three streams that rarely meet: (</w:t>
      </w:r>
      <w:proofErr w:type="spellStart"/>
      <w:r w:rsidRPr="002A5AE2">
        <w:rPr>
          <w:rFonts w:ascii="Arial" w:hAnsi="Arial" w:cs="Arial"/>
          <w:sz w:val="24"/>
          <w:szCs w:val="24"/>
        </w:rPr>
        <w:t>i</w:t>
      </w:r>
      <w:proofErr w:type="spellEnd"/>
      <w:r w:rsidRPr="002A5AE2">
        <w:rPr>
          <w:rFonts w:ascii="Arial" w:hAnsi="Arial" w:cs="Arial"/>
          <w:sz w:val="24"/>
          <w:szCs w:val="24"/>
        </w:rPr>
        <w:t xml:space="preserve">) </w:t>
      </w:r>
      <w:proofErr w:type="gramStart"/>
      <w:r w:rsidRPr="002A5AE2">
        <w:rPr>
          <w:rFonts w:ascii="Arial" w:hAnsi="Arial" w:cs="Arial"/>
          <w:sz w:val="24"/>
          <w:szCs w:val="24"/>
        </w:rPr>
        <w:t>life-cycle</w:t>
      </w:r>
      <w:proofErr w:type="gramEnd"/>
      <w:r w:rsidRPr="002A5AE2">
        <w:rPr>
          <w:rFonts w:ascii="Arial" w:hAnsi="Arial" w:cs="Arial"/>
          <w:sz w:val="24"/>
          <w:szCs w:val="24"/>
        </w:rPr>
        <w:t xml:space="preserve"> and carbon-footprint studies of paper products, (ii) machine learning in international trade and supply chains, and (iii) sustainable supplier selection with multi-criteria and AI methods. None of them explains </w:t>
      </w:r>
      <w:r w:rsidRPr="002A5AE2">
        <w:rPr>
          <w:rFonts w:ascii="Arial" w:hAnsi="Arial" w:cs="Arial"/>
          <w:i/>
          <w:sz w:val="24"/>
          <w:szCs w:val="24"/>
        </w:rPr>
        <w:t>which</w:t>
      </w:r>
      <w:r w:rsidRPr="002A5AE2">
        <w:rPr>
          <w:rFonts w:ascii="Arial" w:hAnsi="Arial" w:cs="Arial"/>
          <w:sz w:val="24"/>
          <w:szCs w:val="24"/>
        </w:rPr>
        <w:t xml:space="preserve"> sustainable import patterns exist in a specific national sector and </w:t>
      </w:r>
      <w:r w:rsidRPr="002A5AE2">
        <w:rPr>
          <w:rFonts w:ascii="Arial" w:hAnsi="Arial" w:cs="Arial"/>
          <w:i/>
          <w:sz w:val="24"/>
          <w:szCs w:val="24"/>
        </w:rPr>
        <w:t>why</w:t>
      </w:r>
      <w:r w:rsidRPr="002A5AE2">
        <w:rPr>
          <w:rFonts w:ascii="Arial" w:hAnsi="Arial" w:cs="Arial"/>
          <w:sz w:val="24"/>
          <w:szCs w:val="24"/>
        </w:rPr>
        <w:t xml:space="preserve"> they occur.</w:t>
      </w:r>
    </w:p>
    <w:p w14:paraId="726482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practical consequence is that MINAM, SUNAT, MINCETUR and PRODUCE lack evidence to design green public procurement, differentiated customs incentives or green-trade promotion, and importers must rely on unverified supplier claims.</w:t>
      </w:r>
    </w:p>
    <w:p w14:paraId="14E928D6"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Justification</w:t>
      </w:r>
    </w:p>
    <w:p w14:paraId="4FD05C81" w14:textId="77777777" w:rsidR="00AF58BD" w:rsidRPr="002A5AE2" w:rsidRDefault="00000000" w:rsidP="002A5AE2">
      <w:pPr>
        <w:pStyle w:val="Prrafodelista"/>
        <w:numPr>
          <w:ilvl w:val="0"/>
          <w:numId w:val="2"/>
        </w:numPr>
        <w:jc w:val="both"/>
        <w:rPr>
          <w:rFonts w:ascii="Arial" w:hAnsi="Arial" w:cs="Arial"/>
          <w:sz w:val="24"/>
          <w:szCs w:val="24"/>
        </w:rPr>
      </w:pPr>
      <w:r w:rsidRPr="002A5AE2">
        <w:rPr>
          <w:rFonts w:ascii="Arial" w:hAnsi="Arial" w:cs="Arial"/>
          <w:b/>
          <w:sz w:val="24"/>
          <w:szCs w:val="24"/>
        </w:rPr>
        <w:t>Theoretical:</w:t>
      </w:r>
      <w:r w:rsidRPr="002A5AE2">
        <w:rPr>
          <w:rFonts w:ascii="Arial" w:hAnsi="Arial" w:cs="Arial"/>
          <w:sz w:val="24"/>
          <w:szCs w:val="24"/>
        </w:rPr>
        <w:t xml:space="preserve"> operationalizes "sustainable import" through explicit, validated proxies and links life-cycle criteria with real trade flows.</w:t>
      </w:r>
    </w:p>
    <w:p w14:paraId="077994A3" w14:textId="77777777" w:rsidR="00AF58BD" w:rsidRPr="002A5AE2" w:rsidRDefault="00000000" w:rsidP="002A5AE2">
      <w:pPr>
        <w:pStyle w:val="Prrafodelista"/>
        <w:numPr>
          <w:ilvl w:val="0"/>
          <w:numId w:val="2"/>
        </w:numPr>
        <w:jc w:val="both"/>
        <w:rPr>
          <w:rFonts w:ascii="Arial" w:hAnsi="Arial" w:cs="Arial"/>
          <w:sz w:val="24"/>
          <w:szCs w:val="24"/>
        </w:rPr>
      </w:pPr>
      <w:r w:rsidRPr="002A5AE2">
        <w:rPr>
          <w:rFonts w:ascii="Arial" w:hAnsi="Arial" w:cs="Arial"/>
          <w:b/>
          <w:sz w:val="24"/>
          <w:szCs w:val="24"/>
        </w:rPr>
        <w:t>Methodological:</w:t>
      </w:r>
      <w:r w:rsidRPr="002A5AE2">
        <w:rPr>
          <w:rFonts w:ascii="Arial" w:hAnsi="Arial" w:cs="Arial"/>
          <w:sz w:val="24"/>
          <w:szCs w:val="24"/>
        </w:rPr>
        <w:t xml:space="preserve"> shows how ML pattern detection on administrative data can be combined with expert explanation, with safeguards against confirmation bias.</w:t>
      </w:r>
    </w:p>
    <w:p w14:paraId="5E47E789" w14:textId="77777777" w:rsidR="00AF58BD" w:rsidRPr="002A5AE2" w:rsidRDefault="00000000" w:rsidP="002A5AE2">
      <w:pPr>
        <w:pStyle w:val="Prrafodelista"/>
        <w:numPr>
          <w:ilvl w:val="0"/>
          <w:numId w:val="2"/>
        </w:numPr>
        <w:jc w:val="both"/>
        <w:rPr>
          <w:rFonts w:ascii="Arial" w:hAnsi="Arial" w:cs="Arial"/>
          <w:sz w:val="24"/>
          <w:szCs w:val="24"/>
        </w:rPr>
      </w:pPr>
      <w:r w:rsidRPr="002A5AE2">
        <w:rPr>
          <w:rFonts w:ascii="Arial" w:hAnsi="Arial" w:cs="Arial"/>
          <w:b/>
          <w:sz w:val="24"/>
          <w:szCs w:val="24"/>
        </w:rPr>
        <w:t>Practical:</w:t>
      </w:r>
      <w:r w:rsidRPr="002A5AE2">
        <w:rPr>
          <w:rFonts w:ascii="Arial" w:hAnsi="Arial" w:cs="Arial"/>
          <w:sz w:val="24"/>
          <w:szCs w:val="24"/>
        </w:rPr>
        <w:t xml:space="preserve"> gives public entities and importers an evidence-based framework aligned with Peru's National Circular Economy Policy and SDG 12 (responsible consumption and production).</w:t>
      </w:r>
    </w:p>
    <w:p w14:paraId="078A6710" w14:textId="77777777" w:rsidR="00AF58BD" w:rsidRPr="002A5AE2" w:rsidRDefault="00000000" w:rsidP="002A5AE2">
      <w:pPr>
        <w:pStyle w:val="Prrafodelista"/>
        <w:numPr>
          <w:ilvl w:val="0"/>
          <w:numId w:val="2"/>
        </w:numPr>
        <w:jc w:val="both"/>
        <w:rPr>
          <w:rFonts w:ascii="Arial" w:hAnsi="Arial" w:cs="Arial"/>
          <w:sz w:val="24"/>
          <w:szCs w:val="24"/>
        </w:rPr>
      </w:pPr>
      <w:r w:rsidRPr="002A5AE2">
        <w:rPr>
          <w:rFonts w:ascii="Arial" w:hAnsi="Arial" w:cs="Arial"/>
          <w:b/>
          <w:sz w:val="24"/>
          <w:szCs w:val="24"/>
        </w:rPr>
        <w:lastRenderedPageBreak/>
        <w:t>Feasibility:</w:t>
      </w:r>
      <w:r w:rsidRPr="002A5AE2">
        <w:rPr>
          <w:rFonts w:ascii="Arial" w:hAnsi="Arial" w:cs="Arial"/>
          <w:sz w:val="24"/>
          <w:szCs w:val="24"/>
        </w:rPr>
        <w:t xml:space="preserve"> customs records for 2022–2026 are accessible, the ML methods are established, and FSC/PEFC/ISO certification registries are public.</w:t>
      </w:r>
    </w:p>
    <w:p w14:paraId="63A080B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Objectives</w:t>
      </w:r>
    </w:p>
    <w:p w14:paraId="1F75E2C4"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General objective.</w:t>
      </w:r>
      <w:r w:rsidRPr="002A5AE2">
        <w:rPr>
          <w:rFonts w:ascii="Arial" w:hAnsi="Arial" w:cs="Arial"/>
          <w:sz w:val="24"/>
          <w:szCs w:val="24"/>
        </w:rPr>
        <w:t xml:space="preserve"> To identify the sustainable import patterns that characterize Peru's paper products sector between 2022 and 2026 and explain them through the perspectives of sector actors.</w:t>
      </w:r>
    </w:p>
    <w:p w14:paraId="0889323A"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Specific objectives.</w:t>
      </w:r>
    </w:p>
    <w:p w14:paraId="12589751"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Operationalize sustainability in customs records through explicit proxies and a proxy-based label, stating each proxy's intended meaning and known sources of error.</w:t>
      </w:r>
    </w:p>
    <w:p w14:paraId="6BB1B366"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Identify distinct import profiles (K-Means) after filtering data-quality anomalies (Isolation Forest).</w:t>
      </w:r>
    </w:p>
    <w:p w14:paraId="1B3C3A02"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Determine which structured customs variables best predict the proxy-based sustainability label (</w:t>
      </w:r>
      <w:proofErr w:type="spellStart"/>
      <w:r w:rsidRPr="002A5AE2">
        <w:rPr>
          <w:rFonts w:ascii="Arial" w:hAnsi="Arial" w:cs="Arial"/>
          <w:sz w:val="24"/>
          <w:szCs w:val="24"/>
        </w:rPr>
        <w:t>XGBoost</w:t>
      </w:r>
      <w:proofErr w:type="spellEnd"/>
      <w:r w:rsidRPr="002A5AE2">
        <w:rPr>
          <w:rFonts w:ascii="Arial" w:hAnsi="Arial" w:cs="Arial"/>
          <w:sz w:val="24"/>
          <w:szCs w:val="24"/>
        </w:rPr>
        <w:t xml:space="preserve"> with SHAP).</w:t>
      </w:r>
    </w:p>
    <w:p w14:paraId="708A0C35"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 xml:space="preserve">Explain, validate or challenge </w:t>
      </w:r>
      <w:proofErr w:type="gramStart"/>
      <w:r w:rsidRPr="002A5AE2">
        <w:rPr>
          <w:rFonts w:ascii="Arial" w:hAnsi="Arial" w:cs="Arial"/>
          <w:sz w:val="24"/>
          <w:szCs w:val="24"/>
        </w:rPr>
        <w:t>the quantitative</w:t>
      </w:r>
      <w:proofErr w:type="gramEnd"/>
      <w:r w:rsidRPr="002A5AE2">
        <w:rPr>
          <w:rFonts w:ascii="Arial" w:hAnsi="Arial" w:cs="Arial"/>
          <w:sz w:val="24"/>
          <w:szCs w:val="24"/>
        </w:rPr>
        <w:t xml:space="preserve"> patterns through semi-structured interviews with customs agents, importers and environmental specialists.</w:t>
      </w:r>
    </w:p>
    <w:p w14:paraId="7B0330E8" w14:textId="77777777" w:rsidR="00AF58BD" w:rsidRPr="002A5AE2" w:rsidRDefault="00000000" w:rsidP="002A5AE2">
      <w:pPr>
        <w:pStyle w:val="Prrafodelista"/>
        <w:numPr>
          <w:ilvl w:val="0"/>
          <w:numId w:val="3"/>
        </w:numPr>
        <w:jc w:val="both"/>
        <w:rPr>
          <w:rFonts w:ascii="Arial" w:hAnsi="Arial" w:cs="Arial"/>
          <w:sz w:val="24"/>
          <w:szCs w:val="24"/>
        </w:rPr>
      </w:pPr>
      <w:r w:rsidRPr="002A5AE2">
        <w:rPr>
          <w:rFonts w:ascii="Arial" w:hAnsi="Arial" w:cs="Arial"/>
          <w:sz w:val="24"/>
          <w:szCs w:val="24"/>
        </w:rPr>
        <w:t>Integrate both strands into an evaluation framework and derive recommendations for public policy and green procurement.</w:t>
      </w:r>
    </w:p>
    <w:p w14:paraId="44782499"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Scope</w:t>
      </w:r>
    </w:p>
    <w:p w14:paraId="5020E63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study covers paper products imported into Peru under HS Chapter 48, with emphasis on tissue products (e.g., headings 4803 and 4818), from 2022 to 2026. It generates explanatory knowledge; it does not deploy a system in SUNAT or formulate policy, although it offers recommendations.</w:t>
      </w:r>
    </w:p>
    <w:p w14:paraId="192C7D49"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04 · Literature Review</w:t>
      </w:r>
    </w:p>
    <w:p w14:paraId="5ACF20E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review is organized in three streams whose lack of integration defines the research gap.</w:t>
      </w:r>
    </w:p>
    <w:p w14:paraId="572F01E8"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Stream 1 — Machine learning in international trade and customs</w:t>
      </w:r>
    </w:p>
    <w:p w14:paraId="41690B01" w14:textId="77777777" w:rsidR="00AF58BD" w:rsidRPr="002A5AE2" w:rsidRDefault="00000000" w:rsidP="002A5AE2">
      <w:pPr>
        <w:jc w:val="both"/>
        <w:rPr>
          <w:rFonts w:ascii="Arial" w:hAnsi="Arial" w:cs="Arial"/>
          <w:sz w:val="24"/>
          <w:szCs w:val="24"/>
        </w:rPr>
      </w:pPr>
      <w:proofErr w:type="spellStart"/>
      <w:r w:rsidRPr="002A5AE2">
        <w:rPr>
          <w:rFonts w:ascii="Arial" w:hAnsi="Arial" w:cs="Arial"/>
          <w:sz w:val="24"/>
          <w:szCs w:val="24"/>
        </w:rPr>
        <w:t>Breinlich</w:t>
      </w:r>
      <w:proofErr w:type="spellEnd"/>
      <w:r w:rsidRPr="002A5AE2">
        <w:rPr>
          <w:rFonts w:ascii="Arial" w:hAnsi="Arial" w:cs="Arial"/>
          <w:sz w:val="24"/>
          <w:szCs w:val="24"/>
        </w:rPr>
        <w:t xml:space="preserve"> et al. (2021) showed that ML selects the trade-agreement provisions that matter for trade flows more efficiently than traditional econometric </w:t>
      </w:r>
      <w:proofErr w:type="gramStart"/>
      <w:r w:rsidRPr="002A5AE2">
        <w:rPr>
          <w:rFonts w:ascii="Arial" w:hAnsi="Arial" w:cs="Arial"/>
          <w:sz w:val="24"/>
          <w:szCs w:val="24"/>
        </w:rPr>
        <w:t>methods, but</w:t>
      </w:r>
      <w:proofErr w:type="gramEnd"/>
      <w:r w:rsidRPr="002A5AE2">
        <w:rPr>
          <w:rFonts w:ascii="Arial" w:hAnsi="Arial" w:cs="Arial"/>
          <w:sz w:val="24"/>
          <w:szCs w:val="24"/>
        </w:rPr>
        <w:t xml:space="preserve"> did not address sustainability. Ferencz (2022, OECD) found that AI improves customs efficiency, risk detection and trade facilitation, provided adequate regulatory frameworks exist. Together they establish that customs transaction data can support ML analysis, which is the premise of this study's quantitative phase.</w:t>
      </w:r>
    </w:p>
    <w:p w14:paraId="75D80A83"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Stream 2 — AI for sustainable and circular supply chains</w:t>
      </w:r>
    </w:p>
    <w:p w14:paraId="7C184C0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Systematic reviews show AI is applied mainly to demand forecasting, supplier selection, inventory and logistics, with growing evidence of sustainability benefits (</w:t>
      </w:r>
      <w:proofErr w:type="spellStart"/>
      <w:r w:rsidRPr="002A5AE2">
        <w:rPr>
          <w:rFonts w:ascii="Arial" w:hAnsi="Arial" w:cs="Arial"/>
          <w:sz w:val="24"/>
          <w:szCs w:val="24"/>
        </w:rPr>
        <w:t>Culot</w:t>
      </w:r>
      <w:proofErr w:type="spellEnd"/>
      <w:r w:rsidRPr="002A5AE2">
        <w:rPr>
          <w:rFonts w:ascii="Arial" w:hAnsi="Arial" w:cs="Arial"/>
          <w:sz w:val="24"/>
          <w:szCs w:val="24"/>
        </w:rPr>
        <w:t xml:space="preserve"> et al., </w:t>
      </w:r>
      <w:r w:rsidRPr="002A5AE2">
        <w:rPr>
          <w:rFonts w:ascii="Arial" w:hAnsi="Arial" w:cs="Arial"/>
          <w:sz w:val="24"/>
          <w:szCs w:val="24"/>
        </w:rPr>
        <w:lastRenderedPageBreak/>
        <w:t xml:space="preserve">2024; Khedr et al., 2024). Bhattacharya et al. (2024) link AI to traceability and waste reduction in closed-loop supply chains; </w:t>
      </w:r>
      <w:proofErr w:type="spellStart"/>
      <w:r w:rsidRPr="002A5AE2">
        <w:rPr>
          <w:rFonts w:ascii="Arial" w:hAnsi="Arial" w:cs="Arial"/>
          <w:sz w:val="24"/>
          <w:szCs w:val="24"/>
        </w:rPr>
        <w:t>Patalas</w:t>
      </w:r>
      <w:proofErr w:type="spellEnd"/>
      <w:r w:rsidRPr="002A5AE2">
        <w:rPr>
          <w:rFonts w:ascii="Arial" w:hAnsi="Arial" w:cs="Arial"/>
          <w:sz w:val="24"/>
          <w:szCs w:val="24"/>
        </w:rPr>
        <w:t xml:space="preserve">-Maliszewska et al. (2024) link it to lower emissions and better compliance with environmental standards; Samuels et al. (2025) highlight AI, blockchain and IoT as enablers of transparency. </w:t>
      </w:r>
      <w:proofErr w:type="spellStart"/>
      <w:r w:rsidRPr="002A5AE2">
        <w:rPr>
          <w:rFonts w:ascii="Arial" w:hAnsi="Arial" w:cs="Arial"/>
          <w:sz w:val="24"/>
          <w:szCs w:val="24"/>
        </w:rPr>
        <w:t>Gidiagba</w:t>
      </w:r>
      <w:proofErr w:type="spellEnd"/>
      <w:r w:rsidRPr="002A5AE2">
        <w:rPr>
          <w:rFonts w:ascii="Arial" w:hAnsi="Arial" w:cs="Arial"/>
          <w:sz w:val="24"/>
          <w:szCs w:val="24"/>
        </w:rPr>
        <w:t xml:space="preserve"> et al. (2025) find that ML improves sustainable supplier evaluation and reduces greenwashing risk, but only with quality data and external validation of certifications. Wu and Zuo (2023) and Badakhshan and Khosravi (2024) add empirical and hybrid simulation–ML applications. A recurring limitation across this stream is the scarcity of empirical applications in specific national sectors and in Latin America.</w:t>
      </w:r>
    </w:p>
    <w:p w14:paraId="4B29C64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Stream 3 — Sustainability of paper products</w:t>
      </w:r>
    </w:p>
    <w:p w14:paraId="1CA8062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Meng et al. (2021) found up to 40% differences in carbon footprint across tissue production paths depending on fiber, bleaching and energy. A 2024 cradle-to-gate assessment reported 1,485–1,849 kg </w:t>
      </w:r>
      <w:proofErr w:type="spellStart"/>
      <w:r w:rsidRPr="002A5AE2">
        <w:rPr>
          <w:rFonts w:ascii="Arial" w:hAnsi="Arial" w:cs="Arial"/>
          <w:sz w:val="24"/>
          <w:szCs w:val="24"/>
        </w:rPr>
        <w:t>CO</w:t>
      </w:r>
      <w:r w:rsidRPr="002A5AE2">
        <w:rPr>
          <w:rFonts w:ascii="Cambria Math" w:hAnsi="Cambria Math" w:cs="Cambria Math"/>
          <w:sz w:val="24"/>
          <w:szCs w:val="24"/>
        </w:rPr>
        <w:t>₂</w:t>
      </w:r>
      <w:r w:rsidRPr="002A5AE2">
        <w:rPr>
          <w:rFonts w:ascii="Arial" w:hAnsi="Arial" w:cs="Arial"/>
          <w:sz w:val="24"/>
          <w:szCs w:val="24"/>
        </w:rPr>
        <w:t>eq</w:t>
      </w:r>
      <w:proofErr w:type="spellEnd"/>
      <w:r w:rsidRPr="002A5AE2">
        <w:rPr>
          <w:rFonts w:ascii="Arial" w:hAnsi="Arial" w:cs="Arial"/>
          <w:sz w:val="24"/>
          <w:szCs w:val="24"/>
        </w:rPr>
        <w:t xml:space="preserve"> per </w:t>
      </w:r>
      <w:proofErr w:type="spellStart"/>
      <w:r w:rsidRPr="002A5AE2">
        <w:rPr>
          <w:rFonts w:ascii="Arial" w:hAnsi="Arial" w:cs="Arial"/>
          <w:sz w:val="24"/>
          <w:szCs w:val="24"/>
        </w:rPr>
        <w:t>tonne</w:t>
      </w:r>
      <w:proofErr w:type="spellEnd"/>
      <w:r w:rsidRPr="002A5AE2">
        <w:rPr>
          <w:rFonts w:ascii="Arial" w:hAnsi="Arial" w:cs="Arial"/>
          <w:sz w:val="24"/>
          <w:szCs w:val="24"/>
        </w:rPr>
        <w:t xml:space="preserve"> of tissue and up to 20% reduction with bioenergy. Other studies call for a standardized carbon-footprint accounting method for paper (2023), integrate LCA with AHP to prioritize indicators (2021), and note heterogeneous system boundaries across 26 LCA studies (2025). Meng et al. (2024) connect circular-economy practices with low-carbon transitions in the pulp and paper industry. Certification and labeling standards (FSC, PEFC, ISO 14001, 14024, 14025, 14067) provide the verifiable criteria that this stream relies on.</w:t>
      </w:r>
    </w:p>
    <w:p w14:paraId="7501E6A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Research gap</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5FD71C8D" w14:textId="77777777">
        <w:trPr>
          <w:tblHeader/>
        </w:trPr>
        <w:tc>
          <w:tcPr>
            <w:tcW w:w="3120" w:type="dxa"/>
            <w:shd w:val="clear" w:color="auto" w:fill="F2F2F2"/>
          </w:tcPr>
          <w:p w14:paraId="64F9991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Stream</w:t>
            </w:r>
          </w:p>
        </w:tc>
        <w:tc>
          <w:tcPr>
            <w:tcW w:w="3120" w:type="dxa"/>
            <w:shd w:val="clear" w:color="auto" w:fill="F2F2F2"/>
          </w:tcPr>
          <w:p w14:paraId="5673B34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it offers this study</w:t>
            </w:r>
          </w:p>
        </w:tc>
        <w:tc>
          <w:tcPr>
            <w:tcW w:w="3120" w:type="dxa"/>
            <w:shd w:val="clear" w:color="auto" w:fill="F2F2F2"/>
          </w:tcPr>
          <w:p w14:paraId="2FB2223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it leaves open</w:t>
            </w:r>
          </w:p>
        </w:tc>
      </w:tr>
      <w:tr w:rsidR="00AF58BD" w:rsidRPr="002A5AE2" w14:paraId="6A465760" w14:textId="77777777">
        <w:tc>
          <w:tcPr>
            <w:tcW w:w="3120" w:type="dxa"/>
          </w:tcPr>
          <w:p w14:paraId="5A6F2A2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ML in trade and customs</w:t>
            </w:r>
          </w:p>
        </w:tc>
        <w:tc>
          <w:tcPr>
            <w:tcW w:w="3120" w:type="dxa"/>
          </w:tcPr>
          <w:p w14:paraId="75B03D2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Evidence that customs data </w:t>
            </w:r>
            <w:proofErr w:type="gramStart"/>
            <w:r w:rsidRPr="002A5AE2">
              <w:rPr>
                <w:rFonts w:ascii="Arial" w:hAnsi="Arial" w:cs="Arial"/>
                <w:sz w:val="24"/>
                <w:szCs w:val="24"/>
              </w:rPr>
              <w:t>support</w:t>
            </w:r>
            <w:proofErr w:type="gramEnd"/>
            <w:r w:rsidRPr="002A5AE2">
              <w:rPr>
                <w:rFonts w:ascii="Arial" w:hAnsi="Arial" w:cs="Arial"/>
                <w:sz w:val="24"/>
                <w:szCs w:val="24"/>
              </w:rPr>
              <w:t xml:space="preserve"> ML pattern detection</w:t>
            </w:r>
          </w:p>
        </w:tc>
        <w:tc>
          <w:tcPr>
            <w:tcW w:w="3120" w:type="dxa"/>
          </w:tcPr>
          <w:p w14:paraId="0527FDF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No sustainability dimension</w:t>
            </w:r>
          </w:p>
        </w:tc>
      </w:tr>
      <w:tr w:rsidR="00AF58BD" w:rsidRPr="002A5AE2" w14:paraId="3CE0B24E" w14:textId="77777777">
        <w:tc>
          <w:tcPr>
            <w:tcW w:w="3120" w:type="dxa"/>
          </w:tcPr>
          <w:p w14:paraId="2792E0A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AI in sustainable supply chains</w:t>
            </w:r>
          </w:p>
        </w:tc>
        <w:tc>
          <w:tcPr>
            <w:tcW w:w="3120" w:type="dxa"/>
          </w:tcPr>
          <w:p w14:paraId="48C069C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Algorithms, supplier-selection logic, greenwashing risk</w:t>
            </w:r>
          </w:p>
        </w:tc>
        <w:tc>
          <w:tcPr>
            <w:tcW w:w="3120" w:type="dxa"/>
          </w:tcPr>
          <w:p w14:paraId="18A63F8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Few sector- and country-specific empirical cases; data quality</w:t>
            </w:r>
          </w:p>
        </w:tc>
      </w:tr>
      <w:tr w:rsidR="00AF58BD" w:rsidRPr="002A5AE2" w14:paraId="7856BA44" w14:textId="77777777">
        <w:tc>
          <w:tcPr>
            <w:tcW w:w="3120" w:type="dxa"/>
          </w:tcPr>
          <w:p w14:paraId="1325290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Paper-product sustainability</w:t>
            </w:r>
          </w:p>
        </w:tc>
        <w:tc>
          <w:tcPr>
            <w:tcW w:w="3120" w:type="dxa"/>
          </w:tcPr>
          <w:p w14:paraId="13A3274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Criteria: fiber, certification, bleaching, carbon footprint</w:t>
            </w:r>
          </w:p>
        </w:tc>
        <w:tc>
          <w:tcPr>
            <w:tcW w:w="3120" w:type="dxa"/>
          </w:tcPr>
          <w:p w14:paraId="75271B7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Focus on production, not on international trade flows</w:t>
            </w:r>
          </w:p>
        </w:tc>
      </w:tr>
    </w:tbl>
    <w:p w14:paraId="3234A88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No study found operationalizes "sustainable import" from customs records of paper products, and none combines pattern detection with the explanation of market actors. This study addresses both gaps for Peru, 2022–2026.</w:t>
      </w:r>
    </w:p>
    <w:p w14:paraId="29323D8D" w14:textId="77777777" w:rsidR="00AF58BD" w:rsidRPr="002A5AE2" w:rsidRDefault="00000000" w:rsidP="002A5AE2">
      <w:pPr>
        <w:jc w:val="both"/>
        <w:rPr>
          <w:rFonts w:ascii="Arial" w:hAnsi="Arial" w:cs="Arial"/>
          <w:sz w:val="24"/>
          <w:szCs w:val="24"/>
        </w:rPr>
      </w:pPr>
      <w:r w:rsidRPr="002A5AE2">
        <w:rPr>
          <w:rFonts w:ascii="Arial" w:hAnsi="Arial" w:cs="Arial"/>
          <w:i/>
          <w:sz w:val="24"/>
          <w:szCs w:val="24"/>
        </w:rPr>
        <w:t>Note for the next revision:</w:t>
      </w:r>
      <w:r w:rsidRPr="002A5AE2">
        <w:rPr>
          <w:rFonts w:ascii="Arial" w:hAnsi="Arial" w:cs="Arial"/>
          <w:sz w:val="24"/>
          <w:szCs w:val="24"/>
        </w:rPr>
        <w:t xml:space="preserve"> the review currently leans on systematic reviews. Adding 3–5 empirical studies on customs text mining (e.g., HS-code classification from product descriptions) and on Latin American green trade would strengthen Stream 1 and the proxy strategy.</w:t>
      </w:r>
    </w:p>
    <w:p w14:paraId="07702364"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lastRenderedPageBreak/>
        <w:t>05 · Research Questions / Hypotheses</w:t>
      </w:r>
    </w:p>
    <w:p w14:paraId="740A6CA5"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Central question.</w:t>
      </w:r>
      <w:r w:rsidRPr="002A5AE2">
        <w:rPr>
          <w:rFonts w:ascii="Arial" w:hAnsi="Arial" w:cs="Arial"/>
          <w:sz w:val="24"/>
          <w:szCs w:val="24"/>
        </w:rPr>
        <w:t xml:space="preserve"> What sustainable import patterns characterize the Peruvian paper products sector between 2022 and 2026, and how do sector actors (customs agents, importers and environmental specialists) explain them?</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AF58BD" w:rsidRPr="002A5AE2" w14:paraId="2BAE8C29" w14:textId="77777777">
        <w:trPr>
          <w:tblHeader/>
        </w:trPr>
        <w:tc>
          <w:tcPr>
            <w:tcW w:w="2340" w:type="dxa"/>
            <w:shd w:val="clear" w:color="auto" w:fill="F2F2F2"/>
          </w:tcPr>
          <w:p w14:paraId="4EF6F46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t>
            </w:r>
          </w:p>
        </w:tc>
        <w:tc>
          <w:tcPr>
            <w:tcW w:w="2340" w:type="dxa"/>
            <w:shd w:val="clear" w:color="auto" w:fill="F2F2F2"/>
          </w:tcPr>
          <w:p w14:paraId="730B9E1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Sub-question</w:t>
            </w:r>
          </w:p>
        </w:tc>
        <w:tc>
          <w:tcPr>
            <w:tcW w:w="2340" w:type="dxa"/>
            <w:shd w:val="clear" w:color="auto" w:fill="F2F2F2"/>
          </w:tcPr>
          <w:p w14:paraId="1FBC9D7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Strand</w:t>
            </w:r>
          </w:p>
        </w:tc>
        <w:tc>
          <w:tcPr>
            <w:tcW w:w="2340" w:type="dxa"/>
            <w:shd w:val="clear" w:color="auto" w:fill="F2F2F2"/>
          </w:tcPr>
          <w:p w14:paraId="21F0BDD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Method</w:t>
            </w:r>
          </w:p>
        </w:tc>
      </w:tr>
      <w:tr w:rsidR="00AF58BD" w:rsidRPr="002A5AE2" w14:paraId="089B9E1F" w14:textId="77777777">
        <w:tc>
          <w:tcPr>
            <w:tcW w:w="2340" w:type="dxa"/>
          </w:tcPr>
          <w:p w14:paraId="6243D23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RQ1</w:t>
            </w:r>
          </w:p>
        </w:tc>
        <w:tc>
          <w:tcPr>
            <w:tcW w:w="2340" w:type="dxa"/>
          </w:tcPr>
          <w:p w14:paraId="5EE37EB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distinct import profiles exist in paper-product imports once data-quality anomalies are removed?</w:t>
            </w:r>
          </w:p>
        </w:tc>
        <w:tc>
          <w:tcPr>
            <w:tcW w:w="2340" w:type="dxa"/>
          </w:tcPr>
          <w:p w14:paraId="5880EEF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QUANT</w:t>
            </w:r>
          </w:p>
        </w:tc>
        <w:tc>
          <w:tcPr>
            <w:tcW w:w="2340" w:type="dxa"/>
          </w:tcPr>
          <w:p w14:paraId="655BAA2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Isolation Forest → K-Means</w:t>
            </w:r>
          </w:p>
        </w:tc>
      </w:tr>
      <w:tr w:rsidR="00AF58BD" w:rsidRPr="002A5AE2" w14:paraId="4A52B447" w14:textId="77777777">
        <w:tc>
          <w:tcPr>
            <w:tcW w:w="2340" w:type="dxa"/>
          </w:tcPr>
          <w:p w14:paraId="550DB9B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RQ2</w:t>
            </w:r>
          </w:p>
        </w:tc>
        <w:tc>
          <w:tcPr>
            <w:tcW w:w="2340" w:type="dxa"/>
          </w:tcPr>
          <w:p w14:paraId="0A9A930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Which structured customs variables (tariff subheading, origin, supplier, unit value, volume, frequency) best predict the proxy-based sustainability label?</w:t>
            </w:r>
          </w:p>
        </w:tc>
        <w:tc>
          <w:tcPr>
            <w:tcW w:w="2340" w:type="dxa"/>
          </w:tcPr>
          <w:p w14:paraId="6706219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QUANT</w:t>
            </w:r>
          </w:p>
        </w:tc>
        <w:tc>
          <w:tcPr>
            <w:tcW w:w="2340" w:type="dxa"/>
          </w:tcPr>
          <w:p w14:paraId="71439FB4" w14:textId="77777777" w:rsidR="00AF58BD" w:rsidRPr="002A5AE2" w:rsidRDefault="00000000" w:rsidP="002A5AE2">
            <w:pPr>
              <w:jc w:val="both"/>
              <w:rPr>
                <w:rFonts w:ascii="Arial" w:hAnsi="Arial" w:cs="Arial"/>
                <w:sz w:val="24"/>
                <w:szCs w:val="24"/>
              </w:rPr>
            </w:pPr>
            <w:proofErr w:type="spellStart"/>
            <w:r w:rsidRPr="002A5AE2">
              <w:rPr>
                <w:rFonts w:ascii="Arial" w:hAnsi="Arial" w:cs="Arial"/>
                <w:sz w:val="24"/>
                <w:szCs w:val="24"/>
              </w:rPr>
              <w:t>XGBoost</w:t>
            </w:r>
            <w:proofErr w:type="spellEnd"/>
            <w:r w:rsidRPr="002A5AE2">
              <w:rPr>
                <w:rFonts w:ascii="Arial" w:hAnsi="Arial" w:cs="Arial"/>
                <w:sz w:val="24"/>
                <w:szCs w:val="24"/>
              </w:rPr>
              <w:t xml:space="preserve"> + SHAP</w:t>
            </w:r>
          </w:p>
        </w:tc>
      </w:tr>
      <w:tr w:rsidR="00AF58BD" w:rsidRPr="002A5AE2" w14:paraId="516D2B1C" w14:textId="77777777">
        <w:tc>
          <w:tcPr>
            <w:tcW w:w="2340" w:type="dxa"/>
          </w:tcPr>
          <w:p w14:paraId="61DAD33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RQ3</w:t>
            </w:r>
          </w:p>
        </w:tc>
        <w:tc>
          <w:tcPr>
            <w:tcW w:w="2340" w:type="dxa"/>
          </w:tcPr>
          <w:p w14:paraId="22E6EE5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How do customs agents, importers and environmental specialists explain these patterns, and do they consider the proxies credible?</w:t>
            </w:r>
          </w:p>
        </w:tc>
        <w:tc>
          <w:tcPr>
            <w:tcW w:w="2340" w:type="dxa"/>
          </w:tcPr>
          <w:p w14:paraId="1052E41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QUAL</w:t>
            </w:r>
          </w:p>
        </w:tc>
        <w:tc>
          <w:tcPr>
            <w:tcW w:w="2340" w:type="dxa"/>
          </w:tcPr>
          <w:p w14:paraId="57040CD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Semi-structured interviews, thematic analysis</w:t>
            </w:r>
          </w:p>
        </w:tc>
      </w:tr>
      <w:tr w:rsidR="00AF58BD" w:rsidRPr="002A5AE2" w14:paraId="04935581" w14:textId="77777777">
        <w:tc>
          <w:tcPr>
            <w:tcW w:w="2340" w:type="dxa"/>
          </w:tcPr>
          <w:p w14:paraId="641BA1F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RQ4</w:t>
            </w:r>
          </w:p>
        </w:tc>
        <w:tc>
          <w:tcPr>
            <w:tcW w:w="2340" w:type="dxa"/>
          </w:tcPr>
          <w:p w14:paraId="1320936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Where do quantitative patterns and expert explanations converge or diverge, and what does this imply for policy and green procurement?</w:t>
            </w:r>
          </w:p>
        </w:tc>
        <w:tc>
          <w:tcPr>
            <w:tcW w:w="2340" w:type="dxa"/>
          </w:tcPr>
          <w:p w14:paraId="63C3FC7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Integration</w:t>
            </w:r>
          </w:p>
        </w:tc>
        <w:tc>
          <w:tcPr>
            <w:tcW w:w="2340" w:type="dxa"/>
          </w:tcPr>
          <w:p w14:paraId="70B9021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Joint display, meta-inferences</w:t>
            </w:r>
          </w:p>
        </w:tc>
      </w:tr>
    </w:tbl>
    <w:p w14:paraId="2343DB4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lastRenderedPageBreak/>
        <w:t>Working hypotheses (quantitative strand only)</w:t>
      </w:r>
    </w:p>
    <w:p w14:paraId="7D3F189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 qualitative strand is exploratory and has no hypotheses. For the quantitative strand, the following working hypotheses will be tested:</w:t>
      </w:r>
    </w:p>
    <w:p w14:paraId="789F39BC"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H1.</w:t>
      </w:r>
      <w:r w:rsidRPr="002A5AE2">
        <w:rPr>
          <w:rFonts w:ascii="Arial" w:hAnsi="Arial" w:cs="Arial"/>
          <w:sz w:val="24"/>
          <w:szCs w:val="24"/>
        </w:rPr>
        <w:t xml:space="preserve"> Paper-product imports form at least two distinguishable profiles that differ in their share of proxy-indicated sustainable records.</w:t>
      </w:r>
    </w:p>
    <w:p w14:paraId="0F76DC42"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H2.</w:t>
      </w:r>
      <w:r w:rsidRPr="002A5AE2">
        <w:rPr>
          <w:rFonts w:ascii="Arial" w:hAnsi="Arial" w:cs="Arial"/>
          <w:sz w:val="24"/>
          <w:szCs w:val="24"/>
        </w:rPr>
        <w:t xml:space="preserve"> Structured customs fields alone predict the proxy-based label better than a majority-class baseline and a logistic-regression baseline (compared on F1 and PR-AUC under cross-validation).</w:t>
      </w:r>
    </w:p>
    <w:p w14:paraId="5DEC864C"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H3.</w:t>
      </w:r>
      <w:r w:rsidRPr="002A5AE2">
        <w:rPr>
          <w:rFonts w:ascii="Arial" w:hAnsi="Arial" w:cs="Arial"/>
          <w:sz w:val="24"/>
          <w:szCs w:val="24"/>
        </w:rPr>
        <w:t xml:space="preserve"> Country of origin and tariff subheading are among the variables with the highest mean SHAP contribution to the label.</w:t>
      </w:r>
    </w:p>
    <w:p w14:paraId="55E905E6" w14:textId="77777777" w:rsidR="00AF58BD" w:rsidRPr="002A5AE2" w:rsidRDefault="00000000" w:rsidP="002A5AE2">
      <w:pPr>
        <w:pStyle w:val="Prrafodelista"/>
        <w:numPr>
          <w:ilvl w:val="0"/>
          <w:numId w:val="4"/>
        </w:numPr>
        <w:jc w:val="both"/>
        <w:rPr>
          <w:rFonts w:ascii="Arial" w:hAnsi="Arial" w:cs="Arial"/>
          <w:sz w:val="24"/>
          <w:szCs w:val="24"/>
        </w:rPr>
      </w:pPr>
      <w:r w:rsidRPr="002A5AE2">
        <w:rPr>
          <w:rFonts w:ascii="Arial" w:hAnsi="Arial" w:cs="Arial"/>
          <w:b/>
          <w:sz w:val="24"/>
          <w:szCs w:val="24"/>
        </w:rPr>
        <w:t>H4.</w:t>
      </w:r>
      <w:r w:rsidRPr="002A5AE2">
        <w:rPr>
          <w:rFonts w:ascii="Arial" w:hAnsi="Arial" w:cs="Arial"/>
          <w:sz w:val="24"/>
          <w:szCs w:val="24"/>
        </w:rPr>
        <w:t xml:space="preserve"> Proxy-indicated sustainable imports have a higher unit value (US$/kg) than conventional imports of the same subheading.</w:t>
      </w:r>
    </w:p>
    <w:p w14:paraId="67941EC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Numeric thresholds (e.g., minimum acceptable F1, silhouette score) will be fixed in the analysis plan before modeling, to avoid adjusting them to the results.</w:t>
      </w:r>
    </w:p>
    <w:p w14:paraId="386E5492"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06 · Methodology</w:t>
      </w:r>
    </w:p>
    <w:p w14:paraId="7BAF446B"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Paradigm, methodology and design</w:t>
      </w:r>
    </w:p>
    <w:p w14:paraId="0DE0C5D8" w14:textId="77777777" w:rsidR="00AF58BD" w:rsidRPr="002A5AE2" w:rsidRDefault="00000000" w:rsidP="002A5AE2">
      <w:pPr>
        <w:pStyle w:val="Prrafodelista"/>
        <w:numPr>
          <w:ilvl w:val="0"/>
          <w:numId w:val="5"/>
        </w:numPr>
        <w:jc w:val="both"/>
        <w:rPr>
          <w:rFonts w:ascii="Arial" w:hAnsi="Arial" w:cs="Arial"/>
          <w:sz w:val="24"/>
          <w:szCs w:val="24"/>
        </w:rPr>
      </w:pPr>
      <w:r w:rsidRPr="002A5AE2">
        <w:rPr>
          <w:rFonts w:ascii="Arial" w:hAnsi="Arial" w:cs="Arial"/>
          <w:b/>
          <w:sz w:val="24"/>
          <w:szCs w:val="24"/>
        </w:rPr>
        <w:t>Paradigm: Pragmatism.</w:t>
      </w:r>
      <w:r w:rsidRPr="002A5AE2">
        <w:rPr>
          <w:rFonts w:ascii="Arial" w:hAnsi="Arial" w:cs="Arial"/>
          <w:sz w:val="24"/>
          <w:szCs w:val="24"/>
        </w:rPr>
        <w:t xml:space="preserve"> Sustainable import patterns are treated as real enough to be measured through proxies, while their meaning is constructed by the actors who classify and trade the goods. A method is judged by whether it answers the research question.</w:t>
      </w:r>
    </w:p>
    <w:p w14:paraId="0312A472" w14:textId="77777777" w:rsidR="00AF58BD" w:rsidRPr="002A5AE2" w:rsidRDefault="00000000" w:rsidP="002A5AE2">
      <w:pPr>
        <w:pStyle w:val="Prrafodelista"/>
        <w:numPr>
          <w:ilvl w:val="0"/>
          <w:numId w:val="5"/>
        </w:numPr>
        <w:jc w:val="both"/>
        <w:rPr>
          <w:rFonts w:ascii="Arial" w:hAnsi="Arial" w:cs="Arial"/>
          <w:sz w:val="24"/>
          <w:szCs w:val="24"/>
        </w:rPr>
      </w:pPr>
      <w:r w:rsidRPr="002A5AE2">
        <w:rPr>
          <w:rFonts w:ascii="Arial" w:hAnsi="Arial" w:cs="Arial"/>
          <w:b/>
          <w:sz w:val="24"/>
          <w:szCs w:val="24"/>
        </w:rPr>
        <w:t>Methodology: Mixed methods</w:t>
      </w:r>
      <w:r w:rsidRPr="002A5AE2">
        <w:rPr>
          <w:rFonts w:ascii="Arial" w:hAnsi="Arial" w:cs="Arial"/>
          <w:sz w:val="24"/>
          <w:szCs w:val="24"/>
        </w:rPr>
        <w:t>, with the two strands integrated rather than run in parallel.</w:t>
      </w:r>
    </w:p>
    <w:p w14:paraId="7D3B6CFF" w14:textId="77777777" w:rsidR="00AF58BD" w:rsidRPr="002A5AE2" w:rsidRDefault="00000000" w:rsidP="002A5AE2">
      <w:pPr>
        <w:pStyle w:val="Prrafodelista"/>
        <w:numPr>
          <w:ilvl w:val="0"/>
          <w:numId w:val="5"/>
        </w:numPr>
        <w:jc w:val="both"/>
        <w:rPr>
          <w:rFonts w:ascii="Arial" w:hAnsi="Arial" w:cs="Arial"/>
          <w:sz w:val="24"/>
          <w:szCs w:val="24"/>
        </w:rPr>
      </w:pPr>
      <w:r w:rsidRPr="002A5AE2">
        <w:rPr>
          <w:rFonts w:ascii="Arial" w:hAnsi="Arial" w:cs="Arial"/>
          <w:b/>
          <w:sz w:val="24"/>
          <w:szCs w:val="24"/>
        </w:rPr>
        <w:t>Design: Explanatory sequential (QUANT → QUAL).</w:t>
      </w:r>
      <w:r w:rsidRPr="002A5AE2">
        <w:rPr>
          <w:rFonts w:ascii="Arial" w:hAnsi="Arial" w:cs="Arial"/>
          <w:sz w:val="24"/>
          <w:szCs w:val="24"/>
        </w:rPr>
        <w:t xml:space="preserve"> Customs data are analyzed first with ML; interviews then explain and validate the patterns.</w:t>
      </w:r>
    </w:p>
    <w:p w14:paraId="6BD16CB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This choice won the Method-Fit Matrix (Deliverable 2) with 90/100 and was the only option to pass the epistemological gate (E = 5). Positivism (55/100), Interpretivism (48/100) and Design Science (45/100) were eliminated because each scored E = 1: none can answer both </w:t>
      </w:r>
      <w:r w:rsidRPr="002A5AE2">
        <w:rPr>
          <w:rFonts w:ascii="Arial" w:hAnsi="Arial" w:cs="Arial"/>
          <w:i/>
          <w:sz w:val="24"/>
          <w:szCs w:val="24"/>
        </w:rPr>
        <w:t>what</w:t>
      </w:r>
      <w:r w:rsidRPr="002A5AE2">
        <w:rPr>
          <w:rFonts w:ascii="Arial" w:hAnsi="Arial" w:cs="Arial"/>
          <w:sz w:val="24"/>
          <w:szCs w:val="24"/>
        </w:rPr>
        <w:t xml:space="preserve"> patterns exist and </w:t>
      </w:r>
      <w:r w:rsidRPr="002A5AE2">
        <w:rPr>
          <w:rFonts w:ascii="Arial" w:hAnsi="Arial" w:cs="Arial"/>
          <w:i/>
          <w:sz w:val="24"/>
          <w:szCs w:val="24"/>
        </w:rPr>
        <w:t>why</w:t>
      </w:r>
      <w:r w:rsidRPr="002A5AE2">
        <w:rPr>
          <w:rFonts w:ascii="Arial" w:hAnsi="Arial" w:cs="Arial"/>
          <w:sz w:val="24"/>
          <w:szCs w:val="24"/>
        </w:rPr>
        <w:t>.</w:t>
      </w:r>
    </w:p>
    <w:p w14:paraId="5C43D562"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Phase 1 — Quantitative (QUANT)</w:t>
      </w:r>
    </w:p>
    <w:p w14:paraId="315E0005"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Data.</w:t>
      </w:r>
      <w:r w:rsidRPr="002A5AE2">
        <w:rPr>
          <w:rFonts w:ascii="Arial" w:hAnsi="Arial" w:cs="Arial"/>
          <w:sz w:val="24"/>
          <w:szCs w:val="24"/>
        </w:rPr>
        <w:t xml:space="preserve"> Secondary transaction-level import records, 2022–2026, from SUNAT and </w:t>
      </w:r>
      <w:proofErr w:type="spellStart"/>
      <w:r w:rsidRPr="002A5AE2">
        <w:rPr>
          <w:rFonts w:ascii="Arial" w:hAnsi="Arial" w:cs="Arial"/>
          <w:sz w:val="24"/>
          <w:szCs w:val="24"/>
        </w:rPr>
        <w:t>Veritrade</w:t>
      </w:r>
      <w:proofErr w:type="spellEnd"/>
      <w:r w:rsidRPr="002A5AE2">
        <w:rPr>
          <w:rFonts w:ascii="Arial" w:hAnsi="Arial" w:cs="Arial"/>
          <w:sz w:val="24"/>
          <w:szCs w:val="24"/>
        </w:rPr>
        <w:t>: tariff subheading, commercial description, country of origin, supplier, importer, FOB and CIF value, net weight and quantity. Unit of analysis: the import declaration line.</w:t>
      </w:r>
    </w:p>
    <w:p w14:paraId="7E339D79"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Proxy strategy.</w:t>
      </w:r>
      <w:r w:rsidRPr="002A5AE2">
        <w:rPr>
          <w:rFonts w:ascii="Arial" w:hAnsi="Arial" w:cs="Arial"/>
          <w:sz w:val="24"/>
          <w:szCs w:val="24"/>
        </w:rPr>
        <w:t xml:space="preserve"> Because the records carry no environmental fields, sustainability is operationalized through explicit proxies. Each proxy's validity is argued, not assumed, and is tested with experts in Phase 2.</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AF58BD" w:rsidRPr="002A5AE2" w14:paraId="1FD439F8" w14:textId="77777777">
        <w:trPr>
          <w:tblHeader/>
        </w:trPr>
        <w:tc>
          <w:tcPr>
            <w:tcW w:w="2340" w:type="dxa"/>
            <w:shd w:val="clear" w:color="auto" w:fill="F2F2F2"/>
          </w:tcPr>
          <w:p w14:paraId="1D2D2D1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lastRenderedPageBreak/>
              <w:t>Proxy</w:t>
            </w:r>
          </w:p>
        </w:tc>
        <w:tc>
          <w:tcPr>
            <w:tcW w:w="2340" w:type="dxa"/>
            <w:shd w:val="clear" w:color="auto" w:fill="F2F2F2"/>
          </w:tcPr>
          <w:p w14:paraId="6928524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What it stands for</w:t>
            </w:r>
          </w:p>
        </w:tc>
        <w:tc>
          <w:tcPr>
            <w:tcW w:w="2340" w:type="dxa"/>
            <w:shd w:val="clear" w:color="auto" w:fill="F2F2F2"/>
          </w:tcPr>
          <w:p w14:paraId="4AE9561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Known sources of error</w:t>
            </w:r>
          </w:p>
        </w:tc>
        <w:tc>
          <w:tcPr>
            <w:tcW w:w="2340" w:type="dxa"/>
            <w:shd w:val="clear" w:color="auto" w:fill="F2F2F2"/>
          </w:tcPr>
          <w:p w14:paraId="7498AA9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How it is validated</w:t>
            </w:r>
          </w:p>
        </w:tc>
      </w:tr>
      <w:tr w:rsidR="00AF58BD" w:rsidRPr="002A5AE2" w14:paraId="63411897" w14:textId="77777777">
        <w:tc>
          <w:tcPr>
            <w:tcW w:w="2340" w:type="dxa"/>
          </w:tcPr>
          <w:p w14:paraId="2BC0A90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Tariff subheading (HS code)</w:t>
            </w:r>
          </w:p>
        </w:tc>
        <w:tc>
          <w:tcPr>
            <w:tcW w:w="2340" w:type="dxa"/>
          </w:tcPr>
          <w:p w14:paraId="192215E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Grades that are recycled or </w:t>
            </w:r>
            <w:proofErr w:type="gramStart"/>
            <w:r w:rsidRPr="002A5AE2">
              <w:rPr>
                <w:rFonts w:ascii="Arial" w:hAnsi="Arial" w:cs="Arial"/>
                <w:sz w:val="24"/>
                <w:szCs w:val="24"/>
              </w:rPr>
              <w:t>certified by definition</w:t>
            </w:r>
            <w:proofErr w:type="gramEnd"/>
            <w:r w:rsidRPr="002A5AE2">
              <w:rPr>
                <w:rFonts w:ascii="Arial" w:hAnsi="Arial" w:cs="Arial"/>
                <w:sz w:val="24"/>
                <w:szCs w:val="24"/>
              </w:rPr>
              <w:t xml:space="preserve"> (e.g., recycled liner board)</w:t>
            </w:r>
          </w:p>
        </w:tc>
        <w:tc>
          <w:tcPr>
            <w:tcW w:w="2340" w:type="dxa"/>
          </w:tcPr>
          <w:p w14:paraId="4BAF82B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Most tissue codes do not separate recycled from virgin fiber</w:t>
            </w:r>
          </w:p>
        </w:tc>
        <w:tc>
          <w:tcPr>
            <w:tcW w:w="2340" w:type="dxa"/>
          </w:tcPr>
          <w:p w14:paraId="2736254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Expert review; cross-check with descriptions</w:t>
            </w:r>
          </w:p>
        </w:tc>
      </w:tr>
      <w:tr w:rsidR="00AF58BD" w:rsidRPr="002A5AE2" w14:paraId="238634AA" w14:textId="77777777">
        <w:tc>
          <w:tcPr>
            <w:tcW w:w="2340" w:type="dxa"/>
          </w:tcPr>
          <w:p w14:paraId="5359461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Country and supplier of origin</w:t>
            </w:r>
          </w:p>
        </w:tc>
        <w:tc>
          <w:tcPr>
            <w:tcW w:w="2340" w:type="dxa"/>
          </w:tcPr>
          <w:p w14:paraId="22E326D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Certification prevalence and environmental regulation in the exporting country</w:t>
            </w:r>
          </w:p>
        </w:tc>
        <w:tc>
          <w:tcPr>
            <w:tcW w:w="2340" w:type="dxa"/>
          </w:tcPr>
          <w:p w14:paraId="7F55E64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Ecological fallacy: a country average is not a shipment attribute</w:t>
            </w:r>
          </w:p>
        </w:tc>
        <w:tc>
          <w:tcPr>
            <w:tcW w:w="2340" w:type="dxa"/>
          </w:tcPr>
          <w:p w14:paraId="1D716D9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Cross-reference with FSC/PEFC public registries by supplier</w:t>
            </w:r>
          </w:p>
        </w:tc>
      </w:tr>
      <w:tr w:rsidR="00AF58BD" w:rsidRPr="002A5AE2" w14:paraId="29FB3164" w14:textId="77777777">
        <w:tc>
          <w:tcPr>
            <w:tcW w:w="2340" w:type="dxa"/>
          </w:tcPr>
          <w:p w14:paraId="6E9F2C6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Certification wording (FSC, PEFC, ISO 14001)</w:t>
            </w:r>
          </w:p>
        </w:tc>
        <w:tc>
          <w:tcPr>
            <w:tcW w:w="2340" w:type="dxa"/>
          </w:tcPr>
          <w:p w14:paraId="6B786D8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Third-party verified forest or management certification</w:t>
            </w:r>
          </w:p>
        </w:tc>
        <w:tc>
          <w:tcPr>
            <w:tcW w:w="2340" w:type="dxa"/>
          </w:tcPr>
          <w:p w14:paraId="060E875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Free-text inconsistency, false or outdated claims</w:t>
            </w:r>
          </w:p>
        </w:tc>
        <w:tc>
          <w:tcPr>
            <w:tcW w:w="2340" w:type="dxa"/>
          </w:tcPr>
          <w:p w14:paraId="766C0B5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Verify supplier certificate numbers in FSC/PEFC databases</w:t>
            </w:r>
          </w:p>
        </w:tc>
      </w:tr>
      <w:tr w:rsidR="00AF58BD" w:rsidRPr="002A5AE2" w14:paraId="4968BCA0" w14:textId="77777777">
        <w:tc>
          <w:tcPr>
            <w:tcW w:w="2340" w:type="dxa"/>
          </w:tcPr>
          <w:p w14:paraId="24A292A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Recycled-content wording ("</w:t>
            </w:r>
            <w:proofErr w:type="spellStart"/>
            <w:r w:rsidRPr="002A5AE2">
              <w:rPr>
                <w:rFonts w:ascii="Arial" w:hAnsi="Arial" w:cs="Arial"/>
                <w:sz w:val="24"/>
                <w:szCs w:val="24"/>
              </w:rPr>
              <w:t>reciclado</w:t>
            </w:r>
            <w:proofErr w:type="spellEnd"/>
            <w:r w:rsidRPr="002A5AE2">
              <w:rPr>
                <w:rFonts w:ascii="Arial" w:hAnsi="Arial" w:cs="Arial"/>
                <w:sz w:val="24"/>
                <w:szCs w:val="24"/>
              </w:rPr>
              <w:t>", "recycled", "100% virgin")</w:t>
            </w:r>
          </w:p>
        </w:tc>
        <w:tc>
          <w:tcPr>
            <w:tcW w:w="2340" w:type="dxa"/>
          </w:tcPr>
          <w:p w14:paraId="0BE216C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Share of recycled fiber</w:t>
            </w:r>
          </w:p>
        </w:tc>
        <w:tc>
          <w:tcPr>
            <w:tcW w:w="2340" w:type="dxa"/>
          </w:tcPr>
          <w:p w14:paraId="7B8F68B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Mislabeling, omission, Spanish/English variants</w:t>
            </w:r>
          </w:p>
        </w:tc>
        <w:tc>
          <w:tcPr>
            <w:tcW w:w="2340" w:type="dxa"/>
          </w:tcPr>
          <w:p w14:paraId="47B016D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Dictionary with variants; manual check of a random sample</w:t>
            </w:r>
          </w:p>
        </w:tc>
      </w:tr>
    </w:tbl>
    <w:p w14:paraId="52191865"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Label construction.</w:t>
      </w:r>
      <w:r w:rsidRPr="002A5AE2">
        <w:rPr>
          <w:rFonts w:ascii="Arial" w:hAnsi="Arial" w:cs="Arial"/>
          <w:sz w:val="24"/>
          <w:szCs w:val="24"/>
        </w:rPr>
        <w:t xml:space="preserve"> A binary label, "proxy-indicated sustainable" vs. "conventional", is built from the certification and recycled-content proxies for a labeled subset. A random sample of labels is checked </w:t>
      </w:r>
      <w:proofErr w:type="gramStart"/>
      <w:r w:rsidRPr="002A5AE2">
        <w:rPr>
          <w:rFonts w:ascii="Arial" w:hAnsi="Arial" w:cs="Arial"/>
          <w:sz w:val="24"/>
          <w:szCs w:val="24"/>
        </w:rPr>
        <w:t>manually</w:t>
      </w:r>
      <w:proofErr w:type="gramEnd"/>
      <w:r w:rsidRPr="002A5AE2">
        <w:rPr>
          <w:rFonts w:ascii="Arial" w:hAnsi="Arial" w:cs="Arial"/>
          <w:sz w:val="24"/>
          <w:szCs w:val="24"/>
        </w:rPr>
        <w:t xml:space="preserve"> and inter-rater agreement is reported (Cohen's kappa).</w:t>
      </w:r>
    </w:p>
    <w:p w14:paraId="27C9C577"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Analysis steps.</w:t>
      </w:r>
    </w:p>
    <w:p w14:paraId="02A939DB"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sz w:val="24"/>
          <w:szCs w:val="24"/>
        </w:rPr>
        <w:t>Cleaning and standardization: harmonize HS codes, currencies and units; compute unit value (US$/kg); text-normalize descriptions (lowercase, accents, abbreviations).</w:t>
      </w:r>
    </w:p>
    <w:p w14:paraId="311D2EF2"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sz w:val="24"/>
          <w:szCs w:val="24"/>
        </w:rPr>
        <w:t>Feature extraction: keyword and regular-expression dictionaries for certification and recycled-content wording, validated on a manual sample.</w:t>
      </w:r>
    </w:p>
    <w:p w14:paraId="479ED015"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b/>
          <w:sz w:val="24"/>
          <w:szCs w:val="24"/>
        </w:rPr>
        <w:t>Isolation Forest</w:t>
      </w:r>
      <w:r w:rsidRPr="002A5AE2">
        <w:rPr>
          <w:rFonts w:ascii="Arial" w:hAnsi="Arial" w:cs="Arial"/>
          <w:sz w:val="24"/>
          <w:szCs w:val="24"/>
        </w:rPr>
        <w:t xml:space="preserve"> (anomaly detection): flags inconsistent tariff–country–description combinations and extreme unit values; flagged records are reviewed and set aside before profiling, so data artifacts do not reach the interviews.</w:t>
      </w:r>
    </w:p>
    <w:p w14:paraId="32A1A220"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b/>
          <w:sz w:val="24"/>
          <w:szCs w:val="24"/>
        </w:rPr>
        <w:t>K-Means</w:t>
      </w:r>
      <w:r w:rsidRPr="002A5AE2">
        <w:rPr>
          <w:rFonts w:ascii="Arial" w:hAnsi="Arial" w:cs="Arial"/>
          <w:sz w:val="24"/>
          <w:szCs w:val="24"/>
        </w:rPr>
        <w:t xml:space="preserve"> (clustering): groups transactions into import profiles; number of clusters chosen with the elbow method and silhouette score; profiles described by origin, subheading, unit value, volume, frequency and share of proxy-sustainable records. (RQ1)</w:t>
      </w:r>
    </w:p>
    <w:p w14:paraId="7DD5800F" w14:textId="77777777" w:rsidR="00AF58BD" w:rsidRPr="002A5AE2" w:rsidRDefault="00000000" w:rsidP="002A5AE2">
      <w:pPr>
        <w:pStyle w:val="Prrafodelista"/>
        <w:numPr>
          <w:ilvl w:val="0"/>
          <w:numId w:val="6"/>
        </w:numPr>
        <w:jc w:val="both"/>
        <w:rPr>
          <w:rFonts w:ascii="Arial" w:hAnsi="Arial" w:cs="Arial"/>
          <w:sz w:val="24"/>
          <w:szCs w:val="24"/>
        </w:rPr>
      </w:pPr>
      <w:proofErr w:type="spellStart"/>
      <w:r w:rsidRPr="002A5AE2">
        <w:rPr>
          <w:rFonts w:ascii="Arial" w:hAnsi="Arial" w:cs="Arial"/>
          <w:b/>
          <w:sz w:val="24"/>
          <w:szCs w:val="24"/>
        </w:rPr>
        <w:lastRenderedPageBreak/>
        <w:t>XGBoost</w:t>
      </w:r>
      <w:proofErr w:type="spellEnd"/>
      <w:r w:rsidRPr="002A5AE2">
        <w:rPr>
          <w:rFonts w:ascii="Arial" w:hAnsi="Arial" w:cs="Arial"/>
          <w:sz w:val="24"/>
          <w:szCs w:val="24"/>
        </w:rPr>
        <w:t xml:space="preserve"> (classification): predicts the proxy label from structured fields only (subheading, origin, supplier, unit value, volume, frequency), with stratified k-fold cross-validation, class-imbalance handling, and comparison against majority-class, logistic-regression and Random Forest baselines. Metrics: F1, PR-AUC, precision and recall. (RQ2)</w:t>
      </w:r>
    </w:p>
    <w:p w14:paraId="029EC8DF"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b/>
          <w:sz w:val="24"/>
          <w:szCs w:val="24"/>
        </w:rPr>
        <w:t>SHAP</w:t>
      </w:r>
      <w:r w:rsidRPr="002A5AE2">
        <w:rPr>
          <w:rFonts w:ascii="Arial" w:hAnsi="Arial" w:cs="Arial"/>
          <w:sz w:val="24"/>
          <w:szCs w:val="24"/>
        </w:rPr>
        <w:t>: ranks the contribution of each variable to the predictions and shows direction of effect. (RQ2)</w:t>
      </w:r>
    </w:p>
    <w:p w14:paraId="208CCB96" w14:textId="77777777" w:rsidR="00AF58BD" w:rsidRPr="002A5AE2" w:rsidRDefault="00000000" w:rsidP="002A5AE2">
      <w:pPr>
        <w:pStyle w:val="Prrafodelista"/>
        <w:numPr>
          <w:ilvl w:val="0"/>
          <w:numId w:val="6"/>
        </w:numPr>
        <w:jc w:val="both"/>
        <w:rPr>
          <w:rFonts w:ascii="Arial" w:hAnsi="Arial" w:cs="Arial"/>
          <w:sz w:val="24"/>
          <w:szCs w:val="24"/>
        </w:rPr>
      </w:pPr>
      <w:r w:rsidRPr="002A5AE2">
        <w:rPr>
          <w:rFonts w:ascii="Arial" w:hAnsi="Arial" w:cs="Arial"/>
          <w:sz w:val="24"/>
          <w:szCs w:val="24"/>
        </w:rPr>
        <w:t>Optional sustainability index: only if pursued, with an explicit construct definition, expert-informed weights from Phase 2, and a sensitivity analysis under alternative weights.</w:t>
      </w:r>
    </w:p>
    <w:p w14:paraId="546AF24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Tools: Python (pandas, scikit-learn, </w:t>
      </w:r>
      <w:proofErr w:type="spellStart"/>
      <w:r w:rsidRPr="002A5AE2">
        <w:rPr>
          <w:rFonts w:ascii="Arial" w:hAnsi="Arial" w:cs="Arial"/>
          <w:sz w:val="24"/>
          <w:szCs w:val="24"/>
        </w:rPr>
        <w:t>XGBoost</w:t>
      </w:r>
      <w:proofErr w:type="spellEnd"/>
      <w:r w:rsidRPr="002A5AE2">
        <w:rPr>
          <w:rFonts w:ascii="Arial" w:hAnsi="Arial" w:cs="Arial"/>
          <w:sz w:val="24"/>
          <w:szCs w:val="24"/>
        </w:rPr>
        <w:t>, SHAP).</w:t>
      </w:r>
    </w:p>
    <w:p w14:paraId="25DDE597"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Phase 2 — Qualitative (QUAL)</w:t>
      </w:r>
    </w:p>
    <w:p w14:paraId="4CBD8A20" w14:textId="77777777" w:rsidR="00AF58BD" w:rsidRPr="002A5AE2" w:rsidRDefault="00000000" w:rsidP="002A5AE2">
      <w:pPr>
        <w:pStyle w:val="Prrafodelista"/>
        <w:numPr>
          <w:ilvl w:val="0"/>
          <w:numId w:val="7"/>
        </w:numPr>
        <w:jc w:val="both"/>
        <w:rPr>
          <w:rFonts w:ascii="Arial" w:hAnsi="Arial" w:cs="Arial"/>
          <w:sz w:val="24"/>
          <w:szCs w:val="24"/>
        </w:rPr>
      </w:pPr>
      <w:r w:rsidRPr="002A5AE2">
        <w:rPr>
          <w:rFonts w:ascii="Arial" w:hAnsi="Arial" w:cs="Arial"/>
          <w:b/>
          <w:sz w:val="24"/>
          <w:szCs w:val="24"/>
        </w:rPr>
        <w:t>Participants:</w:t>
      </w:r>
      <w:r w:rsidRPr="002A5AE2">
        <w:rPr>
          <w:rFonts w:ascii="Arial" w:hAnsi="Arial" w:cs="Arial"/>
          <w:sz w:val="24"/>
          <w:szCs w:val="24"/>
        </w:rPr>
        <w:t xml:space="preserve"> customs agents, importers and environmental specialists directly involved in paper-product trade in Peru.</w:t>
      </w:r>
    </w:p>
    <w:p w14:paraId="1E68D747" w14:textId="77777777" w:rsidR="00AF58BD" w:rsidRPr="002A5AE2" w:rsidRDefault="00000000" w:rsidP="002A5AE2">
      <w:pPr>
        <w:pStyle w:val="Prrafodelista"/>
        <w:numPr>
          <w:ilvl w:val="0"/>
          <w:numId w:val="7"/>
        </w:numPr>
        <w:jc w:val="both"/>
        <w:rPr>
          <w:rFonts w:ascii="Arial" w:hAnsi="Arial" w:cs="Arial"/>
          <w:sz w:val="24"/>
          <w:szCs w:val="24"/>
        </w:rPr>
      </w:pPr>
      <w:r w:rsidRPr="002A5AE2">
        <w:rPr>
          <w:rFonts w:ascii="Arial" w:hAnsi="Arial" w:cs="Arial"/>
          <w:b/>
          <w:sz w:val="24"/>
          <w:szCs w:val="24"/>
        </w:rPr>
        <w:t>Sampling:</w:t>
      </w:r>
      <w:r w:rsidRPr="002A5AE2">
        <w:rPr>
          <w:rFonts w:ascii="Arial" w:hAnsi="Arial" w:cs="Arial"/>
          <w:sz w:val="24"/>
          <w:szCs w:val="24"/>
        </w:rPr>
        <w:t xml:space="preserve"> purposive, criterion-based; about 12–15 semi-structured interviews, or until thematic saturation.</w:t>
      </w:r>
    </w:p>
    <w:p w14:paraId="3717769E" w14:textId="77777777" w:rsidR="00AF58BD" w:rsidRPr="002A5AE2" w:rsidRDefault="00000000" w:rsidP="002A5AE2">
      <w:pPr>
        <w:pStyle w:val="Prrafodelista"/>
        <w:numPr>
          <w:ilvl w:val="0"/>
          <w:numId w:val="7"/>
        </w:numPr>
        <w:jc w:val="both"/>
        <w:rPr>
          <w:rFonts w:ascii="Arial" w:hAnsi="Arial" w:cs="Arial"/>
          <w:sz w:val="24"/>
          <w:szCs w:val="24"/>
        </w:rPr>
      </w:pPr>
      <w:r w:rsidRPr="002A5AE2">
        <w:rPr>
          <w:rFonts w:ascii="Arial" w:hAnsi="Arial" w:cs="Arial"/>
          <w:b/>
          <w:sz w:val="24"/>
          <w:szCs w:val="24"/>
        </w:rPr>
        <w:t>Instrument:</w:t>
      </w:r>
      <w:r w:rsidRPr="002A5AE2">
        <w:rPr>
          <w:rFonts w:ascii="Arial" w:hAnsi="Arial" w:cs="Arial"/>
          <w:sz w:val="24"/>
          <w:szCs w:val="24"/>
        </w:rPr>
        <w:t xml:space="preserve"> interview guide with three blocks: (a) open questions about the market before any model output is shown; (b) neutral, descriptive presentation of the surviving patterns, without naming algorithms or suggesting interpretations; (c) credibility of each proxy and active search for disconfirming cases and alternative explanations.</w:t>
      </w:r>
    </w:p>
    <w:p w14:paraId="1A2E4B3D" w14:textId="77777777" w:rsidR="00AF58BD" w:rsidRPr="002A5AE2" w:rsidRDefault="00000000" w:rsidP="002A5AE2">
      <w:pPr>
        <w:pStyle w:val="Prrafodelista"/>
        <w:numPr>
          <w:ilvl w:val="0"/>
          <w:numId w:val="7"/>
        </w:numPr>
        <w:jc w:val="both"/>
        <w:rPr>
          <w:rFonts w:ascii="Arial" w:hAnsi="Arial" w:cs="Arial"/>
          <w:sz w:val="24"/>
          <w:szCs w:val="24"/>
        </w:rPr>
      </w:pPr>
      <w:r w:rsidRPr="002A5AE2">
        <w:rPr>
          <w:rFonts w:ascii="Arial" w:hAnsi="Arial" w:cs="Arial"/>
          <w:b/>
          <w:sz w:val="24"/>
          <w:szCs w:val="24"/>
        </w:rPr>
        <w:t>Analysis:</w:t>
      </w:r>
      <w:r w:rsidRPr="002A5AE2">
        <w:rPr>
          <w:rFonts w:ascii="Arial" w:hAnsi="Arial" w:cs="Arial"/>
          <w:sz w:val="24"/>
          <w:szCs w:val="24"/>
        </w:rPr>
        <w:t xml:space="preserve"> recorded and transcribed interviews; hybrid thematic analysis with deductive codes (from the quantitative patterns and proxy categories) and inductive codes (from participants' own explanations); support software such as </w:t>
      </w:r>
      <w:proofErr w:type="spellStart"/>
      <w:r w:rsidRPr="002A5AE2">
        <w:rPr>
          <w:rFonts w:ascii="Arial" w:hAnsi="Arial" w:cs="Arial"/>
          <w:sz w:val="24"/>
          <w:szCs w:val="24"/>
        </w:rPr>
        <w:t>ATLAS.ti</w:t>
      </w:r>
      <w:proofErr w:type="spellEnd"/>
      <w:r w:rsidRPr="002A5AE2">
        <w:rPr>
          <w:rFonts w:ascii="Arial" w:hAnsi="Arial" w:cs="Arial"/>
          <w:sz w:val="24"/>
          <w:szCs w:val="24"/>
        </w:rPr>
        <w:t xml:space="preserve"> or NVivo; a second coder reviews a subset of transcripts.</w:t>
      </w:r>
    </w:p>
    <w:p w14:paraId="7D0933B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Integration</w:t>
      </w:r>
    </w:p>
    <w:p w14:paraId="65118AB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A </w:t>
      </w:r>
      <w:r w:rsidRPr="002A5AE2">
        <w:rPr>
          <w:rFonts w:ascii="Arial" w:hAnsi="Arial" w:cs="Arial"/>
          <w:b/>
          <w:sz w:val="24"/>
          <w:szCs w:val="24"/>
        </w:rPr>
        <w:t>joint display</w:t>
      </w:r>
      <w:r w:rsidRPr="002A5AE2">
        <w:rPr>
          <w:rFonts w:ascii="Arial" w:hAnsi="Arial" w:cs="Arial"/>
          <w:sz w:val="24"/>
          <w:szCs w:val="24"/>
        </w:rPr>
        <w:t xml:space="preserve"> aligns each quantitative pattern (with its cluster, SHAP evidence and anomaly status) against the corresponding qualitative explanation, marking convergence, divergence and expansion. Meta-inferences from this display answer RQ4 and feed the policy recommendations.</w:t>
      </w:r>
    </w:p>
    <w:p w14:paraId="6D03279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Rigor and safeguards against confirmation bias</w:t>
      </w:r>
    </w:p>
    <w:p w14:paraId="2D125333" w14:textId="77777777" w:rsidR="00AF58BD" w:rsidRPr="002A5AE2" w:rsidRDefault="00000000" w:rsidP="002A5AE2">
      <w:pPr>
        <w:pStyle w:val="Prrafodelista"/>
        <w:numPr>
          <w:ilvl w:val="0"/>
          <w:numId w:val="8"/>
        </w:numPr>
        <w:jc w:val="both"/>
        <w:rPr>
          <w:rFonts w:ascii="Arial" w:hAnsi="Arial" w:cs="Arial"/>
          <w:sz w:val="24"/>
          <w:szCs w:val="24"/>
        </w:rPr>
      </w:pPr>
      <w:r w:rsidRPr="002A5AE2">
        <w:rPr>
          <w:rFonts w:ascii="Arial" w:hAnsi="Arial" w:cs="Arial"/>
          <w:sz w:val="24"/>
          <w:szCs w:val="24"/>
        </w:rPr>
        <w:t>Quantitative: cross-validation, baselines, a hold-out test set, and a manual audit of labels.</w:t>
      </w:r>
    </w:p>
    <w:p w14:paraId="330E9DE0" w14:textId="77777777" w:rsidR="00AF58BD" w:rsidRPr="002A5AE2" w:rsidRDefault="00000000" w:rsidP="002A5AE2">
      <w:pPr>
        <w:pStyle w:val="Prrafodelista"/>
        <w:numPr>
          <w:ilvl w:val="0"/>
          <w:numId w:val="8"/>
        </w:numPr>
        <w:jc w:val="both"/>
        <w:rPr>
          <w:rFonts w:ascii="Arial" w:hAnsi="Arial" w:cs="Arial"/>
          <w:sz w:val="24"/>
          <w:szCs w:val="24"/>
        </w:rPr>
      </w:pPr>
      <w:r w:rsidRPr="002A5AE2">
        <w:rPr>
          <w:rFonts w:ascii="Arial" w:hAnsi="Arial" w:cs="Arial"/>
          <w:sz w:val="24"/>
          <w:szCs w:val="24"/>
        </w:rPr>
        <w:t>Qualitative: audit trail, reflexive memos, second coder, member checking of summaries with participants.</w:t>
      </w:r>
    </w:p>
    <w:p w14:paraId="52CB65C1" w14:textId="77777777" w:rsidR="00AF58BD" w:rsidRPr="002A5AE2" w:rsidRDefault="00000000" w:rsidP="002A5AE2">
      <w:pPr>
        <w:pStyle w:val="Prrafodelista"/>
        <w:numPr>
          <w:ilvl w:val="0"/>
          <w:numId w:val="8"/>
        </w:numPr>
        <w:jc w:val="both"/>
        <w:rPr>
          <w:rFonts w:ascii="Arial" w:hAnsi="Arial" w:cs="Arial"/>
          <w:sz w:val="24"/>
          <w:szCs w:val="24"/>
        </w:rPr>
      </w:pPr>
      <w:r w:rsidRPr="002A5AE2">
        <w:rPr>
          <w:rFonts w:ascii="Arial" w:hAnsi="Arial" w:cs="Arial"/>
          <w:sz w:val="24"/>
          <w:szCs w:val="24"/>
        </w:rPr>
        <w:t>Bias control: anomaly filtering before interviews, neutral presentation of patterns, and some interviews held before participants see any model output.</w:t>
      </w:r>
    </w:p>
    <w:p w14:paraId="600B6C9C"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lastRenderedPageBreak/>
        <w:t>07 · Ethical Considerations</w:t>
      </w:r>
    </w:p>
    <w:p w14:paraId="31529229"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Ethics approval:</w:t>
      </w:r>
      <w:r w:rsidRPr="002A5AE2">
        <w:rPr>
          <w:rFonts w:ascii="Arial" w:hAnsi="Arial" w:cs="Arial"/>
          <w:sz w:val="24"/>
          <w:szCs w:val="24"/>
        </w:rPr>
        <w:t xml:space="preserve"> the protocol and interview guide will be submitted to the UNMSM research ethics committee before any fieldwork.</w:t>
      </w:r>
    </w:p>
    <w:p w14:paraId="47BE018A"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Informed consent:</w:t>
      </w:r>
      <w:r w:rsidRPr="002A5AE2">
        <w:rPr>
          <w:rFonts w:ascii="Arial" w:hAnsi="Arial" w:cs="Arial"/>
          <w:sz w:val="24"/>
          <w:szCs w:val="24"/>
        </w:rPr>
        <w:t xml:space="preserve"> participants receive written information on the study's purpose, voluntary participation, audio recording and their right to withdraw at any time without consequences; consent is signed before the interview.</w:t>
      </w:r>
    </w:p>
    <w:p w14:paraId="5F4DF262"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Confidentiality of participants:</w:t>
      </w:r>
      <w:r w:rsidRPr="002A5AE2">
        <w:rPr>
          <w:rFonts w:ascii="Arial" w:hAnsi="Arial" w:cs="Arial"/>
          <w:sz w:val="24"/>
          <w:szCs w:val="24"/>
        </w:rPr>
        <w:t xml:space="preserve"> interview data are anonymized with codes (e.g., CA-01 for customs agents, IM-01 for importers, ES-01 for environmental specialists) and reported in aggregate or de-identified form.</w:t>
      </w:r>
    </w:p>
    <w:p w14:paraId="4C587EFB"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Commercially sensitive data:</w:t>
      </w:r>
      <w:r w:rsidRPr="002A5AE2">
        <w:rPr>
          <w:rFonts w:ascii="Arial" w:hAnsi="Arial" w:cs="Arial"/>
          <w:sz w:val="24"/>
          <w:szCs w:val="24"/>
        </w:rPr>
        <w:t xml:space="preserve"> SUNAT and </w:t>
      </w:r>
      <w:proofErr w:type="spellStart"/>
      <w:r w:rsidRPr="002A5AE2">
        <w:rPr>
          <w:rFonts w:ascii="Arial" w:hAnsi="Arial" w:cs="Arial"/>
          <w:sz w:val="24"/>
          <w:szCs w:val="24"/>
        </w:rPr>
        <w:t>Veritrade</w:t>
      </w:r>
      <w:proofErr w:type="spellEnd"/>
      <w:r w:rsidRPr="002A5AE2">
        <w:rPr>
          <w:rFonts w:ascii="Arial" w:hAnsi="Arial" w:cs="Arial"/>
          <w:sz w:val="24"/>
          <w:szCs w:val="24"/>
        </w:rPr>
        <w:t xml:space="preserve"> records are used only within their terms of access. Firm-level records are commercially sensitive, so results are reported in aggregated or anonymized form, without disclosing the identity of individual importers or suppliers.</w:t>
      </w:r>
    </w:p>
    <w:p w14:paraId="7A0C33CE"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Data security:</w:t>
      </w:r>
      <w:r w:rsidRPr="002A5AE2">
        <w:rPr>
          <w:rFonts w:ascii="Arial" w:hAnsi="Arial" w:cs="Arial"/>
          <w:sz w:val="24"/>
          <w:szCs w:val="24"/>
        </w:rPr>
        <w:t xml:space="preserve"> raw data and recordings are stored encrypted with access limited to the researcher and advisor; recordings are deleted after transcription and verification; anonymized data are kept for the period required by the university.</w:t>
      </w:r>
    </w:p>
    <w:p w14:paraId="412C50C2"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Responsible interpretation:</w:t>
      </w:r>
      <w:r w:rsidRPr="002A5AE2">
        <w:rPr>
          <w:rFonts w:ascii="Arial" w:hAnsi="Arial" w:cs="Arial"/>
          <w:sz w:val="24"/>
          <w:szCs w:val="24"/>
        </w:rPr>
        <w:t xml:space="preserve"> a proxy-based label is not proof that a firm is or is not sustainable. Results will not be presented as accusations of greenwashing against identifiable firms.</w:t>
      </w:r>
    </w:p>
    <w:p w14:paraId="5C23041B"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Conflicts of interest:</w:t>
      </w:r>
      <w:r w:rsidRPr="002A5AE2">
        <w:rPr>
          <w:rFonts w:ascii="Arial" w:hAnsi="Arial" w:cs="Arial"/>
          <w:sz w:val="24"/>
          <w:szCs w:val="24"/>
        </w:rPr>
        <w:t xml:space="preserve"> none declared; any relationship with importers or public entities will be disclosed.</w:t>
      </w:r>
    </w:p>
    <w:p w14:paraId="466173A6" w14:textId="77777777" w:rsidR="00AF58BD" w:rsidRPr="002A5AE2" w:rsidRDefault="00000000" w:rsidP="002A5AE2">
      <w:pPr>
        <w:pStyle w:val="Prrafodelista"/>
        <w:numPr>
          <w:ilvl w:val="0"/>
          <w:numId w:val="9"/>
        </w:numPr>
        <w:jc w:val="both"/>
        <w:rPr>
          <w:rFonts w:ascii="Arial" w:hAnsi="Arial" w:cs="Arial"/>
          <w:sz w:val="24"/>
          <w:szCs w:val="24"/>
        </w:rPr>
      </w:pPr>
      <w:r w:rsidRPr="002A5AE2">
        <w:rPr>
          <w:rFonts w:ascii="Arial" w:hAnsi="Arial" w:cs="Arial"/>
          <w:b/>
          <w:sz w:val="24"/>
          <w:szCs w:val="24"/>
        </w:rPr>
        <w:t>Use of AI tools:</w:t>
      </w:r>
      <w:r w:rsidRPr="002A5AE2">
        <w:rPr>
          <w:rFonts w:ascii="Arial" w:hAnsi="Arial" w:cs="Arial"/>
          <w:sz w:val="24"/>
          <w:szCs w:val="24"/>
        </w:rPr>
        <w:t xml:space="preserve"> any AI assistance in writing or coding will be disclosed according to UNMSM and journal policies.</w:t>
      </w:r>
    </w:p>
    <w:p w14:paraId="239E7A1A"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08 · Expected Results</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3AC28C38" w14:textId="77777777">
        <w:trPr>
          <w:tblHeader/>
        </w:trPr>
        <w:tc>
          <w:tcPr>
            <w:tcW w:w="3120" w:type="dxa"/>
            <w:shd w:val="clear" w:color="auto" w:fill="F2F2F2"/>
          </w:tcPr>
          <w:p w14:paraId="11BF064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Research question</w:t>
            </w:r>
          </w:p>
        </w:tc>
        <w:tc>
          <w:tcPr>
            <w:tcW w:w="3120" w:type="dxa"/>
            <w:shd w:val="clear" w:color="auto" w:fill="F2F2F2"/>
          </w:tcPr>
          <w:p w14:paraId="6860623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Expected result</w:t>
            </w:r>
          </w:p>
        </w:tc>
        <w:tc>
          <w:tcPr>
            <w:tcW w:w="3120" w:type="dxa"/>
            <w:shd w:val="clear" w:color="auto" w:fill="F2F2F2"/>
          </w:tcPr>
          <w:p w14:paraId="54A4364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Who uses it</w:t>
            </w:r>
          </w:p>
        </w:tc>
      </w:tr>
      <w:tr w:rsidR="00AF58BD" w:rsidRPr="002A5AE2" w14:paraId="0071D3B4" w14:textId="77777777">
        <w:tc>
          <w:tcPr>
            <w:tcW w:w="3120" w:type="dxa"/>
          </w:tcPr>
          <w:p w14:paraId="548A1F0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RQ1</w:t>
            </w:r>
          </w:p>
        </w:tc>
        <w:tc>
          <w:tcPr>
            <w:tcW w:w="3120" w:type="dxa"/>
          </w:tcPr>
          <w:p w14:paraId="51D626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 typology of paper-import profiles (e.g., certified high-value, conventional low-value, mixed) with the share of proxy-sustainable records in each</w:t>
            </w:r>
          </w:p>
        </w:tc>
        <w:tc>
          <w:tcPr>
            <w:tcW w:w="3120" w:type="dxa"/>
          </w:tcPr>
          <w:p w14:paraId="1F89B1A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MINAM, PRODUCE, researchers</w:t>
            </w:r>
          </w:p>
        </w:tc>
      </w:tr>
      <w:tr w:rsidR="00AF58BD" w:rsidRPr="002A5AE2" w14:paraId="168CF86A" w14:textId="77777777">
        <w:tc>
          <w:tcPr>
            <w:tcW w:w="3120" w:type="dxa"/>
          </w:tcPr>
          <w:p w14:paraId="29D3470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RQ2</w:t>
            </w:r>
          </w:p>
        </w:tc>
        <w:tc>
          <w:tcPr>
            <w:tcW w:w="3120" w:type="dxa"/>
          </w:tcPr>
          <w:p w14:paraId="2959B37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 ranking of customs variables that predict the sustainability proxy, with SHAP explanations of direction and size</w:t>
            </w:r>
          </w:p>
        </w:tc>
        <w:tc>
          <w:tcPr>
            <w:tcW w:w="3120" w:type="dxa"/>
          </w:tcPr>
          <w:p w14:paraId="71459C6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SUNAT risk management, MINCETUR</w:t>
            </w:r>
          </w:p>
        </w:tc>
      </w:tr>
      <w:tr w:rsidR="00AF58BD" w:rsidRPr="002A5AE2" w14:paraId="06F2A536" w14:textId="77777777">
        <w:tc>
          <w:tcPr>
            <w:tcW w:w="3120" w:type="dxa"/>
          </w:tcPr>
          <w:p w14:paraId="3922BB2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RQ3</w:t>
            </w:r>
          </w:p>
        </w:tc>
        <w:tc>
          <w:tcPr>
            <w:tcW w:w="3120" w:type="dxa"/>
          </w:tcPr>
          <w:p w14:paraId="0473577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Expert explanations for each pattern and a credibility rating for each proxy, including </w:t>
            </w:r>
            <w:r w:rsidRPr="002A5AE2">
              <w:rPr>
                <w:rFonts w:ascii="Arial" w:hAnsi="Arial" w:cs="Arial"/>
                <w:sz w:val="24"/>
                <w:szCs w:val="24"/>
              </w:rPr>
              <w:lastRenderedPageBreak/>
              <w:t>disconfirming cases</w:t>
            </w:r>
          </w:p>
        </w:tc>
        <w:tc>
          <w:tcPr>
            <w:tcW w:w="3120" w:type="dxa"/>
          </w:tcPr>
          <w:p w14:paraId="57EF007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lastRenderedPageBreak/>
              <w:t>Researchers, importers</w:t>
            </w:r>
          </w:p>
        </w:tc>
      </w:tr>
      <w:tr w:rsidR="00AF58BD" w:rsidRPr="002A5AE2" w14:paraId="3240198C" w14:textId="77777777">
        <w:tc>
          <w:tcPr>
            <w:tcW w:w="3120" w:type="dxa"/>
          </w:tcPr>
          <w:p w14:paraId="25B8CE6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RQ4</w:t>
            </w:r>
          </w:p>
        </w:tc>
        <w:tc>
          <w:tcPr>
            <w:tcW w:w="3120" w:type="dxa"/>
          </w:tcPr>
          <w:p w14:paraId="3DD216D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 joint display and an empirical-explanatory evaluation framework linking customs data with sustainability criteria</w:t>
            </w:r>
          </w:p>
        </w:tc>
        <w:tc>
          <w:tcPr>
            <w:tcW w:w="3120" w:type="dxa"/>
          </w:tcPr>
          <w:p w14:paraId="3FC2E10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MINAM, SUNAT, MINCETUR, PRODUCE</w:t>
            </w:r>
          </w:p>
        </w:tc>
      </w:tr>
    </w:tbl>
    <w:p w14:paraId="6020CC53"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Additional outputs.</w:t>
      </w:r>
    </w:p>
    <w:p w14:paraId="654B7C65" w14:textId="77777777" w:rsidR="00AF58BD" w:rsidRPr="002A5AE2" w:rsidRDefault="00000000" w:rsidP="002A5AE2">
      <w:pPr>
        <w:pStyle w:val="Prrafodelista"/>
        <w:numPr>
          <w:ilvl w:val="0"/>
          <w:numId w:val="10"/>
        </w:numPr>
        <w:jc w:val="both"/>
        <w:rPr>
          <w:rFonts w:ascii="Arial" w:hAnsi="Arial" w:cs="Arial"/>
          <w:sz w:val="24"/>
          <w:szCs w:val="24"/>
        </w:rPr>
      </w:pPr>
      <w:r w:rsidRPr="002A5AE2">
        <w:rPr>
          <w:rFonts w:ascii="Arial" w:hAnsi="Arial" w:cs="Arial"/>
          <w:sz w:val="24"/>
          <w:szCs w:val="24"/>
        </w:rPr>
        <w:t>A cleaned, anonymized and proxy-labeled dataset with a codebook, replicable in other sectors or Latin American countries.</w:t>
      </w:r>
    </w:p>
    <w:p w14:paraId="1BF00C48" w14:textId="77777777" w:rsidR="00AF58BD" w:rsidRPr="002A5AE2" w:rsidRDefault="00000000" w:rsidP="002A5AE2">
      <w:pPr>
        <w:pStyle w:val="Prrafodelista"/>
        <w:numPr>
          <w:ilvl w:val="0"/>
          <w:numId w:val="10"/>
        </w:numPr>
        <w:jc w:val="both"/>
        <w:rPr>
          <w:rFonts w:ascii="Arial" w:hAnsi="Arial" w:cs="Arial"/>
          <w:sz w:val="24"/>
          <w:szCs w:val="24"/>
        </w:rPr>
      </w:pPr>
      <w:r w:rsidRPr="002A5AE2">
        <w:rPr>
          <w:rFonts w:ascii="Arial" w:hAnsi="Arial" w:cs="Arial"/>
          <w:sz w:val="24"/>
          <w:szCs w:val="24"/>
        </w:rPr>
        <w:t>Recommendations for green public procurement, differentiated customs incentives, and a proposal of environmental fields that SUNAT could add to import declarations.</w:t>
      </w:r>
    </w:p>
    <w:p w14:paraId="6313D49C" w14:textId="77777777" w:rsidR="00AF58BD" w:rsidRPr="002A5AE2" w:rsidRDefault="00000000" w:rsidP="002A5AE2">
      <w:pPr>
        <w:pStyle w:val="Prrafodelista"/>
        <w:numPr>
          <w:ilvl w:val="0"/>
          <w:numId w:val="10"/>
        </w:numPr>
        <w:jc w:val="both"/>
        <w:rPr>
          <w:rFonts w:ascii="Arial" w:hAnsi="Arial" w:cs="Arial"/>
          <w:sz w:val="24"/>
          <w:szCs w:val="24"/>
        </w:rPr>
      </w:pPr>
      <w:r w:rsidRPr="002A5AE2">
        <w:rPr>
          <w:rFonts w:ascii="Arial" w:hAnsi="Arial" w:cs="Arial"/>
          <w:sz w:val="24"/>
          <w:szCs w:val="24"/>
        </w:rPr>
        <w:t xml:space="preserve">Two to three articles submitted to </w:t>
      </w:r>
      <w:r w:rsidRPr="002A5AE2">
        <w:rPr>
          <w:rFonts w:ascii="Arial" w:hAnsi="Arial" w:cs="Arial"/>
          <w:i/>
          <w:sz w:val="24"/>
          <w:szCs w:val="24"/>
        </w:rPr>
        <w:t>Sustainability</w:t>
      </w:r>
      <w:r w:rsidRPr="002A5AE2">
        <w:rPr>
          <w:rFonts w:ascii="Arial" w:hAnsi="Arial" w:cs="Arial"/>
          <w:sz w:val="24"/>
          <w:szCs w:val="24"/>
        </w:rPr>
        <w:t xml:space="preserve"> (MDPI), </w:t>
      </w:r>
      <w:r w:rsidRPr="002A5AE2">
        <w:rPr>
          <w:rFonts w:ascii="Arial" w:hAnsi="Arial" w:cs="Arial"/>
          <w:i/>
          <w:sz w:val="24"/>
          <w:szCs w:val="24"/>
        </w:rPr>
        <w:t>Journal of Cleaner Production</w:t>
      </w:r>
      <w:r w:rsidRPr="002A5AE2">
        <w:rPr>
          <w:rFonts w:ascii="Arial" w:hAnsi="Arial" w:cs="Arial"/>
          <w:sz w:val="24"/>
          <w:szCs w:val="24"/>
        </w:rPr>
        <w:t xml:space="preserve"> or </w:t>
      </w:r>
      <w:r w:rsidRPr="002A5AE2">
        <w:rPr>
          <w:rFonts w:ascii="Arial" w:hAnsi="Arial" w:cs="Arial"/>
          <w:i/>
          <w:sz w:val="24"/>
          <w:szCs w:val="24"/>
        </w:rPr>
        <w:t>Environmental Science &amp; Policy</w:t>
      </w:r>
      <w:r w:rsidRPr="002A5AE2">
        <w:rPr>
          <w:rFonts w:ascii="Arial" w:hAnsi="Arial" w:cs="Arial"/>
          <w:sz w:val="24"/>
          <w:szCs w:val="24"/>
        </w:rPr>
        <w:t>, plus the doctoral thesis.</w:t>
      </w:r>
    </w:p>
    <w:p w14:paraId="0AD05631"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Anticipated limitation.</w:t>
      </w:r>
      <w:r w:rsidRPr="002A5AE2">
        <w:rPr>
          <w:rFonts w:ascii="Arial" w:hAnsi="Arial" w:cs="Arial"/>
          <w:sz w:val="24"/>
          <w:szCs w:val="24"/>
        </w:rPr>
        <w:t xml:space="preserve"> Proxy validity is the main expected point of challenge: if experts judge a proxy not credible, it will be dropped or reweighted and the results reported with and without it.</w:t>
      </w:r>
    </w:p>
    <w:p w14:paraId="75875064"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09 · Timeline &amp; Budget</w:t>
      </w:r>
    </w:p>
    <w:p w14:paraId="63240E2D"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Timeline (24 months)</w:t>
      </w:r>
    </w:p>
    <w:p w14:paraId="7940CC4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Full-year 2026 customs data will be available in early 2027, so the 2022–2025 data are processed first and 2026 is added in month 7.</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6ACA0638" w14:textId="77777777">
        <w:trPr>
          <w:tblHeader/>
        </w:trPr>
        <w:tc>
          <w:tcPr>
            <w:tcW w:w="3120" w:type="dxa"/>
            <w:shd w:val="clear" w:color="auto" w:fill="F2F2F2"/>
          </w:tcPr>
          <w:p w14:paraId="45EAC51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Months</w:t>
            </w:r>
          </w:p>
        </w:tc>
        <w:tc>
          <w:tcPr>
            <w:tcW w:w="3120" w:type="dxa"/>
            <w:shd w:val="clear" w:color="auto" w:fill="F2F2F2"/>
          </w:tcPr>
          <w:p w14:paraId="5A99089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Activity</w:t>
            </w:r>
          </w:p>
        </w:tc>
        <w:tc>
          <w:tcPr>
            <w:tcW w:w="3120" w:type="dxa"/>
            <w:shd w:val="clear" w:color="auto" w:fill="F2F2F2"/>
          </w:tcPr>
          <w:p w14:paraId="3BEC140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Deliverable</w:t>
            </w:r>
          </w:p>
        </w:tc>
      </w:tr>
      <w:tr w:rsidR="00AF58BD" w:rsidRPr="002A5AE2" w14:paraId="6341AB56" w14:textId="77777777">
        <w:tc>
          <w:tcPr>
            <w:tcW w:w="3120" w:type="dxa"/>
          </w:tcPr>
          <w:p w14:paraId="635D87D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1–3</w:t>
            </w:r>
          </w:p>
        </w:tc>
        <w:tc>
          <w:tcPr>
            <w:tcW w:w="3120" w:type="dxa"/>
          </w:tcPr>
          <w:p w14:paraId="1630C90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Final literature review; ethics committee submission; data access agreements (SUNAT, </w:t>
            </w:r>
            <w:proofErr w:type="spellStart"/>
            <w:r w:rsidRPr="002A5AE2">
              <w:rPr>
                <w:rFonts w:ascii="Arial" w:hAnsi="Arial" w:cs="Arial"/>
                <w:sz w:val="24"/>
                <w:szCs w:val="24"/>
              </w:rPr>
              <w:t>Veritrade</w:t>
            </w:r>
            <w:proofErr w:type="spellEnd"/>
            <w:r w:rsidRPr="002A5AE2">
              <w:rPr>
                <w:rFonts w:ascii="Arial" w:hAnsi="Arial" w:cs="Arial"/>
                <w:sz w:val="24"/>
                <w:szCs w:val="24"/>
              </w:rPr>
              <w:t>)</w:t>
            </w:r>
          </w:p>
        </w:tc>
        <w:tc>
          <w:tcPr>
            <w:tcW w:w="3120" w:type="dxa"/>
          </w:tcPr>
          <w:p w14:paraId="689CD26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Approved protocol; ethics approval</w:t>
            </w:r>
          </w:p>
        </w:tc>
      </w:tr>
      <w:tr w:rsidR="00AF58BD" w:rsidRPr="002A5AE2" w14:paraId="2514CEE3" w14:textId="77777777">
        <w:tc>
          <w:tcPr>
            <w:tcW w:w="3120" w:type="dxa"/>
          </w:tcPr>
          <w:p w14:paraId="6956F93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3–6</w:t>
            </w:r>
          </w:p>
        </w:tc>
        <w:tc>
          <w:tcPr>
            <w:tcW w:w="3120" w:type="dxa"/>
          </w:tcPr>
          <w:p w14:paraId="48A410F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Data extraction 2022–2025; cleaning; proxy dictionaries; manual label audit</w:t>
            </w:r>
          </w:p>
        </w:tc>
        <w:tc>
          <w:tcPr>
            <w:tcW w:w="3120" w:type="dxa"/>
          </w:tcPr>
          <w:p w14:paraId="592CC1D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Clean dataset; codebook; kappa report</w:t>
            </w:r>
          </w:p>
        </w:tc>
      </w:tr>
      <w:tr w:rsidR="00AF58BD" w:rsidRPr="002A5AE2" w14:paraId="424C7937" w14:textId="77777777">
        <w:tc>
          <w:tcPr>
            <w:tcW w:w="3120" w:type="dxa"/>
          </w:tcPr>
          <w:p w14:paraId="2A51B16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7–9</w:t>
            </w:r>
          </w:p>
        </w:tc>
        <w:tc>
          <w:tcPr>
            <w:tcW w:w="3120" w:type="dxa"/>
          </w:tcPr>
          <w:p w14:paraId="1B0ECB0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Add 2026 data; Isolation Forest; K-Means; </w:t>
            </w:r>
            <w:proofErr w:type="spellStart"/>
            <w:r w:rsidRPr="002A5AE2">
              <w:rPr>
                <w:rFonts w:ascii="Arial" w:hAnsi="Arial" w:cs="Arial"/>
                <w:sz w:val="24"/>
                <w:szCs w:val="24"/>
              </w:rPr>
              <w:t>XGBoost</w:t>
            </w:r>
            <w:proofErr w:type="spellEnd"/>
            <w:r w:rsidRPr="002A5AE2">
              <w:rPr>
                <w:rFonts w:ascii="Arial" w:hAnsi="Arial" w:cs="Arial"/>
                <w:sz w:val="24"/>
                <w:szCs w:val="24"/>
              </w:rPr>
              <w:t xml:space="preserve"> + SHAP</w:t>
            </w:r>
          </w:p>
        </w:tc>
        <w:tc>
          <w:tcPr>
            <w:tcW w:w="3120" w:type="dxa"/>
          </w:tcPr>
          <w:p w14:paraId="2190926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Import-profile typology; SHAP ranking</w:t>
            </w:r>
          </w:p>
        </w:tc>
      </w:tr>
      <w:tr w:rsidR="00AF58BD" w:rsidRPr="002A5AE2" w14:paraId="3EE4B1CE" w14:textId="77777777">
        <w:tc>
          <w:tcPr>
            <w:tcW w:w="3120" w:type="dxa"/>
          </w:tcPr>
          <w:p w14:paraId="0AD314F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lastRenderedPageBreak/>
              <w:t>9–10</w:t>
            </w:r>
          </w:p>
        </w:tc>
        <w:tc>
          <w:tcPr>
            <w:tcW w:w="3120" w:type="dxa"/>
          </w:tcPr>
          <w:p w14:paraId="5ED8F7D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Interview guide design and pilot (2 interviews)</w:t>
            </w:r>
          </w:p>
        </w:tc>
        <w:tc>
          <w:tcPr>
            <w:tcW w:w="3120" w:type="dxa"/>
          </w:tcPr>
          <w:p w14:paraId="44A9BDD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Validated guide</w:t>
            </w:r>
          </w:p>
        </w:tc>
      </w:tr>
      <w:tr w:rsidR="00AF58BD" w:rsidRPr="002A5AE2" w14:paraId="5EE1A940" w14:textId="77777777">
        <w:tc>
          <w:tcPr>
            <w:tcW w:w="3120" w:type="dxa"/>
          </w:tcPr>
          <w:p w14:paraId="6685F75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10–14</w:t>
            </w:r>
          </w:p>
        </w:tc>
        <w:tc>
          <w:tcPr>
            <w:tcW w:w="3120" w:type="dxa"/>
          </w:tcPr>
          <w:p w14:paraId="3C6F883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Fieldwork: 12–15 interviews (some before showing model output)</w:t>
            </w:r>
          </w:p>
        </w:tc>
        <w:tc>
          <w:tcPr>
            <w:tcW w:w="3120" w:type="dxa"/>
          </w:tcPr>
          <w:p w14:paraId="1DC9B99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Transcripts</w:t>
            </w:r>
          </w:p>
        </w:tc>
      </w:tr>
      <w:tr w:rsidR="00AF58BD" w:rsidRPr="002A5AE2" w14:paraId="297D0370" w14:textId="77777777">
        <w:tc>
          <w:tcPr>
            <w:tcW w:w="3120" w:type="dxa"/>
          </w:tcPr>
          <w:p w14:paraId="1226DC7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13–16</w:t>
            </w:r>
          </w:p>
        </w:tc>
        <w:tc>
          <w:tcPr>
            <w:tcW w:w="3120" w:type="dxa"/>
          </w:tcPr>
          <w:p w14:paraId="77E45708"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Thematic coding; second coder review</w:t>
            </w:r>
          </w:p>
        </w:tc>
        <w:tc>
          <w:tcPr>
            <w:tcW w:w="3120" w:type="dxa"/>
          </w:tcPr>
          <w:p w14:paraId="0DEBC8A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Codebook; themes</w:t>
            </w:r>
          </w:p>
        </w:tc>
      </w:tr>
      <w:tr w:rsidR="00AF58BD" w:rsidRPr="002A5AE2" w14:paraId="0726EF80" w14:textId="77777777">
        <w:tc>
          <w:tcPr>
            <w:tcW w:w="3120" w:type="dxa"/>
          </w:tcPr>
          <w:p w14:paraId="3BF99A9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16–18</w:t>
            </w:r>
          </w:p>
        </w:tc>
        <w:tc>
          <w:tcPr>
            <w:tcW w:w="3120" w:type="dxa"/>
          </w:tcPr>
          <w:p w14:paraId="71AC172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Integration: joint display and meta-inferences</w:t>
            </w:r>
          </w:p>
        </w:tc>
        <w:tc>
          <w:tcPr>
            <w:tcW w:w="3120" w:type="dxa"/>
          </w:tcPr>
          <w:p w14:paraId="72000E0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Evaluation framework</w:t>
            </w:r>
          </w:p>
        </w:tc>
      </w:tr>
      <w:tr w:rsidR="00AF58BD" w:rsidRPr="002A5AE2" w14:paraId="2335252F" w14:textId="77777777">
        <w:tc>
          <w:tcPr>
            <w:tcW w:w="3120" w:type="dxa"/>
          </w:tcPr>
          <w:p w14:paraId="7BBEA39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18–21</w:t>
            </w:r>
          </w:p>
        </w:tc>
        <w:tc>
          <w:tcPr>
            <w:tcW w:w="3120" w:type="dxa"/>
          </w:tcPr>
          <w:p w14:paraId="5B96CA7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Article writing and submission</w:t>
            </w:r>
          </w:p>
        </w:tc>
        <w:tc>
          <w:tcPr>
            <w:tcW w:w="3120" w:type="dxa"/>
          </w:tcPr>
          <w:p w14:paraId="42E340A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1–2 manuscripts submitted</w:t>
            </w:r>
          </w:p>
        </w:tc>
      </w:tr>
      <w:tr w:rsidR="00AF58BD" w:rsidRPr="002A5AE2" w14:paraId="6C05FB90" w14:textId="77777777">
        <w:tc>
          <w:tcPr>
            <w:tcW w:w="3120" w:type="dxa"/>
          </w:tcPr>
          <w:p w14:paraId="48E04AF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19–24</w:t>
            </w:r>
          </w:p>
        </w:tc>
        <w:tc>
          <w:tcPr>
            <w:tcW w:w="3120" w:type="dxa"/>
          </w:tcPr>
          <w:p w14:paraId="5FA9168F"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Thesis writing, policy recommendations, defense</w:t>
            </w:r>
          </w:p>
        </w:tc>
        <w:tc>
          <w:tcPr>
            <w:tcW w:w="3120" w:type="dxa"/>
          </w:tcPr>
          <w:p w14:paraId="74D35F9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Thesis; policy brief</w:t>
            </w:r>
          </w:p>
        </w:tc>
      </w:tr>
    </w:tbl>
    <w:p w14:paraId="1D27F7A9" w14:textId="77777777" w:rsidR="002A5AE2" w:rsidRPr="002A5AE2" w:rsidRDefault="002A5AE2" w:rsidP="002A5AE2">
      <w:pPr>
        <w:pStyle w:val="Ttulo3"/>
        <w:jc w:val="both"/>
        <w:rPr>
          <w:rFonts w:ascii="Arial" w:hAnsi="Arial" w:cs="Arial"/>
          <w:szCs w:val="24"/>
        </w:rPr>
      </w:pPr>
    </w:p>
    <w:p w14:paraId="3C90C504" w14:textId="1815F36A" w:rsidR="00AF58BD" w:rsidRPr="002A5AE2" w:rsidRDefault="00000000" w:rsidP="002A5AE2">
      <w:pPr>
        <w:pStyle w:val="Ttulo3"/>
        <w:jc w:val="both"/>
        <w:rPr>
          <w:rFonts w:ascii="Arial" w:hAnsi="Arial" w:cs="Arial"/>
          <w:szCs w:val="24"/>
        </w:rPr>
      </w:pPr>
      <w:r w:rsidRPr="002A5AE2">
        <w:rPr>
          <w:rFonts w:ascii="Arial" w:hAnsi="Arial" w:cs="Arial"/>
          <w:szCs w:val="24"/>
        </w:rPr>
        <w:t>Budget (estimated, in soles)</w:t>
      </w:r>
    </w:p>
    <w:tbl>
      <w:tblPr>
        <w:tblStyle w:val="Tablaconcuadrcula"/>
        <w:tblW w:w="0" w:type="auto"/>
        <w:tblLayout w:type="fixed"/>
        <w:tblLook w:val="0420" w:firstRow="1" w:lastRow="0" w:firstColumn="0" w:lastColumn="0" w:noHBand="0" w:noVBand="1"/>
      </w:tblPr>
      <w:tblGrid>
        <w:gridCol w:w="3120"/>
        <w:gridCol w:w="3120"/>
        <w:gridCol w:w="3120"/>
      </w:tblGrid>
      <w:tr w:rsidR="00AF58BD" w:rsidRPr="002A5AE2" w14:paraId="6B8B2D0B" w14:textId="77777777">
        <w:trPr>
          <w:tblHeader/>
        </w:trPr>
        <w:tc>
          <w:tcPr>
            <w:tcW w:w="3120" w:type="dxa"/>
            <w:shd w:val="clear" w:color="auto" w:fill="F2F2F2"/>
          </w:tcPr>
          <w:p w14:paraId="18E2EE1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Item</w:t>
            </w:r>
          </w:p>
        </w:tc>
        <w:tc>
          <w:tcPr>
            <w:tcW w:w="3120" w:type="dxa"/>
            <w:shd w:val="clear" w:color="auto" w:fill="F2F2F2"/>
          </w:tcPr>
          <w:p w14:paraId="54D5A93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Detail</w:t>
            </w:r>
          </w:p>
        </w:tc>
        <w:tc>
          <w:tcPr>
            <w:tcW w:w="3120" w:type="dxa"/>
            <w:shd w:val="clear" w:color="auto" w:fill="F2F2F2"/>
          </w:tcPr>
          <w:p w14:paraId="23C8DB2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Cost (S/)</w:t>
            </w:r>
          </w:p>
        </w:tc>
      </w:tr>
      <w:tr w:rsidR="00AF58BD" w:rsidRPr="002A5AE2" w14:paraId="3F892536" w14:textId="77777777">
        <w:tc>
          <w:tcPr>
            <w:tcW w:w="3120" w:type="dxa"/>
          </w:tcPr>
          <w:p w14:paraId="554BF7B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Trade database access</w:t>
            </w:r>
          </w:p>
        </w:tc>
        <w:tc>
          <w:tcPr>
            <w:tcW w:w="3120" w:type="dxa"/>
          </w:tcPr>
          <w:p w14:paraId="5E6AA635" w14:textId="77777777" w:rsidR="00AF58BD" w:rsidRPr="002A5AE2" w:rsidRDefault="00000000" w:rsidP="002A5AE2">
            <w:pPr>
              <w:jc w:val="both"/>
              <w:rPr>
                <w:rFonts w:ascii="Arial" w:hAnsi="Arial" w:cs="Arial"/>
                <w:sz w:val="24"/>
                <w:szCs w:val="24"/>
              </w:rPr>
            </w:pPr>
            <w:proofErr w:type="spellStart"/>
            <w:r w:rsidRPr="002A5AE2">
              <w:rPr>
                <w:rFonts w:ascii="Arial" w:hAnsi="Arial" w:cs="Arial"/>
                <w:sz w:val="24"/>
                <w:szCs w:val="24"/>
              </w:rPr>
              <w:t>Veritrade</w:t>
            </w:r>
            <w:proofErr w:type="spellEnd"/>
            <w:r w:rsidRPr="002A5AE2">
              <w:rPr>
                <w:rFonts w:ascii="Arial" w:hAnsi="Arial" w:cs="Arial"/>
                <w:sz w:val="24"/>
                <w:szCs w:val="24"/>
              </w:rPr>
              <w:t xml:space="preserve"> subscription, 12 months (quote to confirm)</w:t>
            </w:r>
          </w:p>
        </w:tc>
        <w:tc>
          <w:tcPr>
            <w:tcW w:w="3120" w:type="dxa"/>
          </w:tcPr>
          <w:p w14:paraId="3C7715B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6,000</w:t>
            </w:r>
          </w:p>
        </w:tc>
      </w:tr>
      <w:tr w:rsidR="00AF58BD" w:rsidRPr="002A5AE2" w14:paraId="3A620D6F" w14:textId="77777777">
        <w:tc>
          <w:tcPr>
            <w:tcW w:w="3120" w:type="dxa"/>
          </w:tcPr>
          <w:p w14:paraId="0B655BA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Computing</w:t>
            </w:r>
          </w:p>
        </w:tc>
        <w:tc>
          <w:tcPr>
            <w:tcW w:w="3120" w:type="dxa"/>
          </w:tcPr>
          <w:p w14:paraId="4A795FF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Cloud notebook or GPU credits</w:t>
            </w:r>
          </w:p>
        </w:tc>
        <w:tc>
          <w:tcPr>
            <w:tcW w:w="3120" w:type="dxa"/>
          </w:tcPr>
          <w:p w14:paraId="2D6297B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800</w:t>
            </w:r>
          </w:p>
        </w:tc>
      </w:tr>
      <w:tr w:rsidR="00AF58BD" w:rsidRPr="002A5AE2" w14:paraId="5B90E400" w14:textId="77777777">
        <w:tc>
          <w:tcPr>
            <w:tcW w:w="3120" w:type="dxa"/>
          </w:tcPr>
          <w:p w14:paraId="5EAA34A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Qualitative software</w:t>
            </w:r>
          </w:p>
        </w:tc>
        <w:tc>
          <w:tcPr>
            <w:tcW w:w="3120" w:type="dxa"/>
          </w:tcPr>
          <w:p w14:paraId="42B23ED6" w14:textId="77777777" w:rsidR="00AF58BD" w:rsidRPr="002A5AE2" w:rsidRDefault="00000000" w:rsidP="002A5AE2">
            <w:pPr>
              <w:jc w:val="both"/>
              <w:rPr>
                <w:rFonts w:ascii="Arial" w:hAnsi="Arial" w:cs="Arial"/>
                <w:sz w:val="24"/>
                <w:szCs w:val="24"/>
              </w:rPr>
            </w:pPr>
            <w:proofErr w:type="spellStart"/>
            <w:r w:rsidRPr="002A5AE2">
              <w:rPr>
                <w:rFonts w:ascii="Arial" w:hAnsi="Arial" w:cs="Arial"/>
                <w:sz w:val="24"/>
                <w:szCs w:val="24"/>
              </w:rPr>
              <w:t>ATLAS.ti</w:t>
            </w:r>
            <w:proofErr w:type="spellEnd"/>
            <w:r w:rsidRPr="002A5AE2">
              <w:rPr>
                <w:rFonts w:ascii="Arial" w:hAnsi="Arial" w:cs="Arial"/>
                <w:sz w:val="24"/>
                <w:szCs w:val="24"/>
              </w:rPr>
              <w:t xml:space="preserve"> or NVivo student license</w:t>
            </w:r>
          </w:p>
        </w:tc>
        <w:tc>
          <w:tcPr>
            <w:tcW w:w="3120" w:type="dxa"/>
          </w:tcPr>
          <w:p w14:paraId="4B21679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500</w:t>
            </w:r>
          </w:p>
        </w:tc>
      </w:tr>
      <w:tr w:rsidR="00AF58BD" w:rsidRPr="002A5AE2" w14:paraId="65E0C563" w14:textId="77777777">
        <w:tc>
          <w:tcPr>
            <w:tcW w:w="3120" w:type="dxa"/>
          </w:tcPr>
          <w:p w14:paraId="6087B86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Transcription</w:t>
            </w:r>
          </w:p>
        </w:tc>
        <w:tc>
          <w:tcPr>
            <w:tcW w:w="3120" w:type="dxa"/>
          </w:tcPr>
          <w:p w14:paraId="51BA308B"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Transcription software and manual correction</w:t>
            </w:r>
          </w:p>
        </w:tc>
        <w:tc>
          <w:tcPr>
            <w:tcW w:w="3120" w:type="dxa"/>
          </w:tcPr>
          <w:p w14:paraId="6EE5184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1,200</w:t>
            </w:r>
          </w:p>
        </w:tc>
      </w:tr>
      <w:tr w:rsidR="00AF58BD" w:rsidRPr="002A5AE2" w14:paraId="5925577A" w14:textId="77777777">
        <w:tc>
          <w:tcPr>
            <w:tcW w:w="3120" w:type="dxa"/>
          </w:tcPr>
          <w:p w14:paraId="7B015B5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Fieldwork</w:t>
            </w:r>
          </w:p>
        </w:tc>
        <w:tc>
          <w:tcPr>
            <w:tcW w:w="3120" w:type="dxa"/>
          </w:tcPr>
          <w:p w14:paraId="7E1982B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Local travel for in-person interviews</w:t>
            </w:r>
          </w:p>
        </w:tc>
        <w:tc>
          <w:tcPr>
            <w:tcW w:w="3120" w:type="dxa"/>
          </w:tcPr>
          <w:p w14:paraId="33B8F1E9"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800</w:t>
            </w:r>
          </w:p>
        </w:tc>
      </w:tr>
      <w:tr w:rsidR="00AF58BD" w:rsidRPr="002A5AE2" w14:paraId="0B580675" w14:textId="77777777">
        <w:tc>
          <w:tcPr>
            <w:tcW w:w="3120" w:type="dxa"/>
          </w:tcPr>
          <w:p w14:paraId="0899C96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Equipment</w:t>
            </w:r>
          </w:p>
        </w:tc>
        <w:tc>
          <w:tcPr>
            <w:tcW w:w="3120" w:type="dxa"/>
          </w:tcPr>
          <w:p w14:paraId="0ECF2A7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Recorder and encrypted storage</w:t>
            </w:r>
          </w:p>
        </w:tc>
        <w:tc>
          <w:tcPr>
            <w:tcW w:w="3120" w:type="dxa"/>
          </w:tcPr>
          <w:p w14:paraId="3C9DC33E"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400</w:t>
            </w:r>
          </w:p>
        </w:tc>
      </w:tr>
      <w:tr w:rsidR="00AF58BD" w:rsidRPr="002A5AE2" w14:paraId="7067733B" w14:textId="77777777">
        <w:tc>
          <w:tcPr>
            <w:tcW w:w="3120" w:type="dxa"/>
          </w:tcPr>
          <w:p w14:paraId="4AFC5D5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Second coder</w:t>
            </w:r>
          </w:p>
        </w:tc>
        <w:tc>
          <w:tcPr>
            <w:tcW w:w="3120" w:type="dxa"/>
          </w:tcPr>
          <w:p w14:paraId="4E94C9B6"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Honorarium for reviewing a subset of transcripts</w:t>
            </w:r>
          </w:p>
        </w:tc>
        <w:tc>
          <w:tcPr>
            <w:tcW w:w="3120" w:type="dxa"/>
          </w:tcPr>
          <w:p w14:paraId="3D0B2A6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1,500</w:t>
            </w:r>
          </w:p>
        </w:tc>
      </w:tr>
      <w:tr w:rsidR="00AF58BD" w:rsidRPr="002A5AE2" w14:paraId="650CFFC5" w14:textId="77777777">
        <w:tc>
          <w:tcPr>
            <w:tcW w:w="3120" w:type="dxa"/>
          </w:tcPr>
          <w:p w14:paraId="4BBCA441"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Language editing</w:t>
            </w:r>
          </w:p>
        </w:tc>
        <w:tc>
          <w:tcPr>
            <w:tcW w:w="3120" w:type="dxa"/>
          </w:tcPr>
          <w:p w14:paraId="1EF63B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 xml:space="preserve">English proofreading of </w:t>
            </w:r>
            <w:r w:rsidRPr="002A5AE2">
              <w:rPr>
                <w:rFonts w:ascii="Arial" w:hAnsi="Arial" w:cs="Arial"/>
                <w:sz w:val="24"/>
                <w:szCs w:val="24"/>
              </w:rPr>
              <w:lastRenderedPageBreak/>
              <w:t>manuscripts</w:t>
            </w:r>
          </w:p>
        </w:tc>
        <w:tc>
          <w:tcPr>
            <w:tcW w:w="3120" w:type="dxa"/>
          </w:tcPr>
          <w:p w14:paraId="674F3765"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lastRenderedPageBreak/>
              <w:t>2,000</w:t>
            </w:r>
          </w:p>
        </w:tc>
      </w:tr>
      <w:tr w:rsidR="00AF58BD" w:rsidRPr="002A5AE2" w14:paraId="259EA778" w14:textId="77777777">
        <w:tc>
          <w:tcPr>
            <w:tcW w:w="3120" w:type="dxa"/>
          </w:tcPr>
          <w:p w14:paraId="3EBD1FDA"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Publication</w:t>
            </w:r>
          </w:p>
        </w:tc>
        <w:tc>
          <w:tcPr>
            <w:tcW w:w="3120" w:type="dxa"/>
          </w:tcPr>
          <w:p w14:paraId="787BCEA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Open-access fee for one article (approximate, confirm with journal)</w:t>
            </w:r>
          </w:p>
        </w:tc>
        <w:tc>
          <w:tcPr>
            <w:tcW w:w="3120" w:type="dxa"/>
          </w:tcPr>
          <w:p w14:paraId="40B2C790"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10,000</w:t>
            </w:r>
          </w:p>
        </w:tc>
      </w:tr>
      <w:tr w:rsidR="00AF58BD" w:rsidRPr="002A5AE2" w14:paraId="77819D74" w14:textId="77777777">
        <w:tc>
          <w:tcPr>
            <w:tcW w:w="3120" w:type="dxa"/>
          </w:tcPr>
          <w:p w14:paraId="528B7D5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Dissemination</w:t>
            </w:r>
          </w:p>
        </w:tc>
        <w:tc>
          <w:tcPr>
            <w:tcW w:w="3120" w:type="dxa"/>
          </w:tcPr>
          <w:p w14:paraId="4C55194C"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Conference registration</w:t>
            </w:r>
          </w:p>
        </w:tc>
        <w:tc>
          <w:tcPr>
            <w:tcW w:w="3120" w:type="dxa"/>
          </w:tcPr>
          <w:p w14:paraId="77B86182"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1,500</w:t>
            </w:r>
          </w:p>
        </w:tc>
      </w:tr>
      <w:tr w:rsidR="00AF58BD" w:rsidRPr="002A5AE2" w14:paraId="1693FFC3" w14:textId="77777777">
        <w:tc>
          <w:tcPr>
            <w:tcW w:w="3120" w:type="dxa"/>
          </w:tcPr>
          <w:p w14:paraId="42825444"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Contingency</w:t>
            </w:r>
          </w:p>
        </w:tc>
        <w:tc>
          <w:tcPr>
            <w:tcW w:w="3120" w:type="dxa"/>
          </w:tcPr>
          <w:p w14:paraId="1CE7888D"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10% of subtotal</w:t>
            </w:r>
          </w:p>
        </w:tc>
        <w:tc>
          <w:tcPr>
            <w:tcW w:w="3120" w:type="dxa"/>
          </w:tcPr>
          <w:p w14:paraId="796E4683"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2,470</w:t>
            </w:r>
          </w:p>
        </w:tc>
      </w:tr>
      <w:tr w:rsidR="00AF58BD" w:rsidRPr="002A5AE2" w14:paraId="014827BF" w14:textId="77777777">
        <w:tc>
          <w:tcPr>
            <w:tcW w:w="3120" w:type="dxa"/>
          </w:tcPr>
          <w:p w14:paraId="46C78C2B"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Total</w:t>
            </w:r>
          </w:p>
        </w:tc>
        <w:tc>
          <w:tcPr>
            <w:tcW w:w="3120" w:type="dxa"/>
          </w:tcPr>
          <w:p w14:paraId="70592D87" w14:textId="77777777" w:rsidR="00AF58BD" w:rsidRPr="002A5AE2" w:rsidRDefault="00AF58BD" w:rsidP="002A5AE2">
            <w:pPr>
              <w:jc w:val="both"/>
              <w:rPr>
                <w:rFonts w:ascii="Arial" w:hAnsi="Arial" w:cs="Arial"/>
                <w:sz w:val="24"/>
                <w:szCs w:val="24"/>
              </w:rPr>
            </w:pPr>
          </w:p>
        </w:tc>
        <w:tc>
          <w:tcPr>
            <w:tcW w:w="3120" w:type="dxa"/>
          </w:tcPr>
          <w:p w14:paraId="28348111" w14:textId="77777777" w:rsidR="00AF58BD" w:rsidRPr="002A5AE2" w:rsidRDefault="00000000" w:rsidP="002A5AE2">
            <w:pPr>
              <w:jc w:val="both"/>
              <w:rPr>
                <w:rFonts w:ascii="Arial" w:hAnsi="Arial" w:cs="Arial"/>
                <w:sz w:val="24"/>
                <w:szCs w:val="24"/>
              </w:rPr>
            </w:pPr>
            <w:r w:rsidRPr="002A5AE2">
              <w:rPr>
                <w:rFonts w:ascii="Arial" w:hAnsi="Arial" w:cs="Arial"/>
                <w:b/>
                <w:sz w:val="24"/>
                <w:szCs w:val="24"/>
              </w:rPr>
              <w:t>27,170</w:t>
            </w:r>
          </w:p>
        </w:tc>
      </w:tr>
    </w:tbl>
    <w:p w14:paraId="78E88ED0" w14:textId="77777777" w:rsidR="00AF58BD" w:rsidRPr="002A5AE2" w:rsidRDefault="00000000" w:rsidP="002A5AE2">
      <w:pPr>
        <w:pStyle w:val="Ttulo2"/>
        <w:jc w:val="both"/>
        <w:rPr>
          <w:rFonts w:ascii="Arial" w:hAnsi="Arial" w:cs="Arial"/>
          <w:sz w:val="24"/>
          <w:szCs w:val="24"/>
        </w:rPr>
      </w:pPr>
      <w:r w:rsidRPr="002A5AE2">
        <w:rPr>
          <w:rFonts w:ascii="Arial" w:hAnsi="Arial" w:cs="Arial"/>
          <w:sz w:val="24"/>
          <w:szCs w:val="24"/>
        </w:rPr>
        <w:t>10 · Bibliography</w:t>
      </w:r>
    </w:p>
    <w:p w14:paraId="0CBBAC57" w14:textId="77777777" w:rsidR="00AF58BD" w:rsidRPr="002A5AE2" w:rsidRDefault="00000000" w:rsidP="002A5AE2">
      <w:pPr>
        <w:jc w:val="both"/>
        <w:rPr>
          <w:rFonts w:ascii="Arial" w:hAnsi="Arial" w:cs="Arial"/>
          <w:sz w:val="24"/>
          <w:szCs w:val="24"/>
        </w:rPr>
      </w:pPr>
      <w:r w:rsidRPr="002A5AE2">
        <w:rPr>
          <w:rFonts w:ascii="Arial" w:hAnsi="Arial" w:cs="Arial"/>
          <w:sz w:val="24"/>
          <w:szCs w:val="24"/>
        </w:rPr>
        <w:t>APA 7th edition.</w:t>
      </w:r>
    </w:p>
    <w:p w14:paraId="16CF32F1"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Studies cited in the project</w:t>
      </w:r>
    </w:p>
    <w:p w14:paraId="25E1F6E8"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Badakhshan, E., &amp; Khosravi, A. (2024). Application of simulation and machine learning in supply chain management. </w:t>
      </w:r>
      <w:r w:rsidRPr="002A5AE2">
        <w:rPr>
          <w:rFonts w:ascii="Arial" w:hAnsi="Arial" w:cs="Arial"/>
          <w:i/>
          <w:sz w:val="24"/>
          <w:szCs w:val="24"/>
        </w:rPr>
        <w:t>Computers &amp; Industrial Engineering, 109</w:t>
      </w:r>
      <w:r w:rsidRPr="002A5AE2">
        <w:rPr>
          <w:rFonts w:ascii="Arial" w:hAnsi="Arial" w:cs="Arial"/>
          <w:sz w:val="24"/>
          <w:szCs w:val="24"/>
        </w:rPr>
        <w:t>, 110649. https://doi.org/10.1016/j.cie.2024.110649</w:t>
      </w:r>
    </w:p>
    <w:p w14:paraId="68C9F453"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Bhattacharya, S., Singh, A., &amp; Kumar, P. (2024). Applications of artificial intelligence in closed-loop supply chains: A systematic literature review. </w:t>
      </w:r>
      <w:r w:rsidRPr="002A5AE2">
        <w:rPr>
          <w:rFonts w:ascii="Arial" w:hAnsi="Arial" w:cs="Arial"/>
          <w:i/>
          <w:sz w:val="24"/>
          <w:szCs w:val="24"/>
        </w:rPr>
        <w:t>Transportation Research Part E: Logistics and Transportation Review, 184</w:t>
      </w:r>
      <w:r w:rsidRPr="002A5AE2">
        <w:rPr>
          <w:rFonts w:ascii="Arial" w:hAnsi="Arial" w:cs="Arial"/>
          <w:sz w:val="24"/>
          <w:szCs w:val="24"/>
        </w:rPr>
        <w:t>, 103455. https://doi.org/10.1016/j.tre.2024.103455</w:t>
      </w:r>
    </w:p>
    <w:p w14:paraId="26AF1063" w14:textId="77777777" w:rsidR="00AF58BD" w:rsidRPr="002A5AE2" w:rsidRDefault="00000000" w:rsidP="002A5AE2">
      <w:pPr>
        <w:pStyle w:val="Prrafodelista"/>
        <w:numPr>
          <w:ilvl w:val="0"/>
          <w:numId w:val="11"/>
        </w:numPr>
        <w:jc w:val="both"/>
        <w:rPr>
          <w:rFonts w:ascii="Arial" w:hAnsi="Arial" w:cs="Arial"/>
          <w:sz w:val="24"/>
          <w:szCs w:val="24"/>
        </w:rPr>
      </w:pPr>
      <w:proofErr w:type="spellStart"/>
      <w:r w:rsidRPr="002A5AE2">
        <w:rPr>
          <w:rFonts w:ascii="Arial" w:hAnsi="Arial" w:cs="Arial"/>
          <w:sz w:val="24"/>
          <w:szCs w:val="24"/>
          <w:lang w:val="es-PE"/>
        </w:rPr>
        <w:t>Breinlich</w:t>
      </w:r>
      <w:proofErr w:type="spellEnd"/>
      <w:r w:rsidRPr="002A5AE2">
        <w:rPr>
          <w:rFonts w:ascii="Arial" w:hAnsi="Arial" w:cs="Arial"/>
          <w:sz w:val="24"/>
          <w:szCs w:val="24"/>
          <w:lang w:val="es-PE"/>
        </w:rPr>
        <w:t xml:space="preserve">, H., Corradi, V., Rocha, N., Ruta, M., Santos Silva, J. M. C., &amp; </w:t>
      </w:r>
      <w:proofErr w:type="spellStart"/>
      <w:r w:rsidRPr="002A5AE2">
        <w:rPr>
          <w:rFonts w:ascii="Arial" w:hAnsi="Arial" w:cs="Arial"/>
          <w:sz w:val="24"/>
          <w:szCs w:val="24"/>
          <w:lang w:val="es-PE"/>
        </w:rPr>
        <w:t>Zylkin</w:t>
      </w:r>
      <w:proofErr w:type="spellEnd"/>
      <w:r w:rsidRPr="002A5AE2">
        <w:rPr>
          <w:rFonts w:ascii="Arial" w:hAnsi="Arial" w:cs="Arial"/>
          <w:sz w:val="24"/>
          <w:szCs w:val="24"/>
          <w:lang w:val="es-PE"/>
        </w:rPr>
        <w:t xml:space="preserve">, T. (2021). </w:t>
      </w:r>
      <w:r w:rsidRPr="002A5AE2">
        <w:rPr>
          <w:rFonts w:ascii="Arial" w:hAnsi="Arial" w:cs="Arial"/>
          <w:i/>
          <w:sz w:val="24"/>
          <w:szCs w:val="24"/>
        </w:rPr>
        <w:t>Machine learning in international trade research</w:t>
      </w:r>
      <w:r w:rsidRPr="002A5AE2">
        <w:rPr>
          <w:rFonts w:ascii="Arial" w:hAnsi="Arial" w:cs="Arial"/>
          <w:sz w:val="24"/>
          <w:szCs w:val="24"/>
        </w:rPr>
        <w:t>. World Bank.</w:t>
      </w:r>
    </w:p>
    <w:p w14:paraId="25145F96" w14:textId="77777777" w:rsidR="00AF58BD" w:rsidRPr="002A5AE2" w:rsidRDefault="00000000" w:rsidP="002A5AE2">
      <w:pPr>
        <w:pStyle w:val="Prrafodelista"/>
        <w:numPr>
          <w:ilvl w:val="0"/>
          <w:numId w:val="11"/>
        </w:numPr>
        <w:jc w:val="both"/>
        <w:rPr>
          <w:rFonts w:ascii="Arial" w:hAnsi="Arial" w:cs="Arial"/>
          <w:sz w:val="24"/>
          <w:szCs w:val="24"/>
        </w:rPr>
      </w:pPr>
      <w:proofErr w:type="spellStart"/>
      <w:r w:rsidRPr="002A5AE2">
        <w:rPr>
          <w:rFonts w:ascii="Arial" w:hAnsi="Arial" w:cs="Arial"/>
          <w:sz w:val="24"/>
          <w:szCs w:val="24"/>
        </w:rPr>
        <w:t>Culot</w:t>
      </w:r>
      <w:proofErr w:type="spellEnd"/>
      <w:r w:rsidRPr="002A5AE2">
        <w:rPr>
          <w:rFonts w:ascii="Arial" w:hAnsi="Arial" w:cs="Arial"/>
          <w:sz w:val="24"/>
          <w:szCs w:val="24"/>
        </w:rPr>
        <w:t xml:space="preserve">, G., Orzes, M., &amp; Carbo, L. (2024). Artificial intelligence in supply chain management: A systematic literature review. </w:t>
      </w:r>
      <w:r w:rsidRPr="002A5AE2">
        <w:rPr>
          <w:rFonts w:ascii="Arial" w:hAnsi="Arial" w:cs="Arial"/>
          <w:i/>
          <w:sz w:val="24"/>
          <w:szCs w:val="24"/>
        </w:rPr>
        <w:t>Computers in Industry, 158</w:t>
      </w:r>
      <w:r w:rsidRPr="002A5AE2">
        <w:rPr>
          <w:rFonts w:ascii="Arial" w:hAnsi="Arial" w:cs="Arial"/>
          <w:sz w:val="24"/>
          <w:szCs w:val="24"/>
        </w:rPr>
        <w:t>, 104132. https://doi.org/10.1016/j.compind.2024.104132</w:t>
      </w:r>
    </w:p>
    <w:p w14:paraId="19A3CB1F"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Environmental sustainability assessment of tissue paper production. (2024). </w:t>
      </w:r>
      <w:r w:rsidRPr="002A5AE2">
        <w:rPr>
          <w:rFonts w:ascii="Arial" w:hAnsi="Arial" w:cs="Arial"/>
          <w:i/>
          <w:sz w:val="24"/>
          <w:szCs w:val="24"/>
        </w:rPr>
        <w:t>Sustainability, 16</w:t>
      </w:r>
      <w:r w:rsidRPr="002A5AE2">
        <w:rPr>
          <w:rFonts w:ascii="Arial" w:hAnsi="Arial" w:cs="Arial"/>
          <w:sz w:val="24"/>
          <w:szCs w:val="24"/>
        </w:rPr>
        <w:t>(21), 9419. https://www.mdpi.com/2071-1050/16/21/9419</w:t>
      </w:r>
    </w:p>
    <w:p w14:paraId="3BB41EA2"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Evaluation of life cycle assessment in a paper manufacture by analytical hierarchy process. (2021). </w:t>
      </w:r>
      <w:r w:rsidRPr="002A5AE2">
        <w:rPr>
          <w:rFonts w:ascii="Arial" w:hAnsi="Arial" w:cs="Arial"/>
          <w:i/>
          <w:sz w:val="24"/>
          <w:szCs w:val="24"/>
        </w:rPr>
        <w:t>International Journal of Sustainable Engineering, 12</w:t>
      </w:r>
      <w:r w:rsidRPr="002A5AE2">
        <w:rPr>
          <w:rFonts w:ascii="Arial" w:hAnsi="Arial" w:cs="Arial"/>
          <w:sz w:val="24"/>
          <w:szCs w:val="24"/>
        </w:rPr>
        <w:t>(6), 1–15. https://doi.org/10.1080/19397038.2021.1982065</w:t>
      </w:r>
    </w:p>
    <w:p w14:paraId="0807F370"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Ferencz, J. (2022). </w:t>
      </w:r>
      <w:r w:rsidRPr="002A5AE2">
        <w:rPr>
          <w:rFonts w:ascii="Arial" w:hAnsi="Arial" w:cs="Arial"/>
          <w:i/>
          <w:sz w:val="24"/>
          <w:szCs w:val="24"/>
        </w:rPr>
        <w:t>Artificial intelligence and international trade</w:t>
      </w:r>
      <w:r w:rsidRPr="002A5AE2">
        <w:rPr>
          <w:rFonts w:ascii="Arial" w:hAnsi="Arial" w:cs="Arial"/>
          <w:sz w:val="24"/>
          <w:szCs w:val="24"/>
        </w:rPr>
        <w:t>. OECD Publishing.</w:t>
      </w:r>
    </w:p>
    <w:p w14:paraId="3412C736"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lang w:val="es-PE"/>
        </w:rPr>
        <w:t xml:space="preserve">Gidiagba, J. O., Adebayo, T., &amp; Okonkwo, C. (2025). </w:t>
      </w:r>
      <w:r w:rsidRPr="002A5AE2">
        <w:rPr>
          <w:rFonts w:ascii="Arial" w:hAnsi="Arial" w:cs="Arial"/>
          <w:sz w:val="24"/>
          <w:szCs w:val="24"/>
        </w:rPr>
        <w:t xml:space="preserve">A systematic review of machine learning applications in sustainable supplier selection. </w:t>
      </w:r>
      <w:r w:rsidRPr="002A5AE2">
        <w:rPr>
          <w:rFonts w:ascii="Arial" w:hAnsi="Arial" w:cs="Arial"/>
          <w:i/>
          <w:sz w:val="24"/>
          <w:szCs w:val="24"/>
        </w:rPr>
        <w:t>Decision Analytics Journal, 18</w:t>
      </w:r>
      <w:r w:rsidRPr="002A5AE2">
        <w:rPr>
          <w:rFonts w:ascii="Arial" w:hAnsi="Arial" w:cs="Arial"/>
          <w:sz w:val="24"/>
          <w:szCs w:val="24"/>
        </w:rPr>
        <w:t>, 100547. https://doi.org/10.1016/j.dajour.2025.100547</w:t>
      </w:r>
    </w:p>
    <w:p w14:paraId="4F712CF2"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International Organization for Standardization. (2006). </w:t>
      </w:r>
      <w:r w:rsidRPr="002A5AE2">
        <w:rPr>
          <w:rFonts w:ascii="Arial" w:hAnsi="Arial" w:cs="Arial"/>
          <w:i/>
          <w:sz w:val="24"/>
          <w:szCs w:val="24"/>
        </w:rPr>
        <w:t>ISO 14025:2006 Environmental labels and declarations — Type III environmental declarations</w:t>
      </w:r>
      <w:r w:rsidRPr="002A5AE2">
        <w:rPr>
          <w:rFonts w:ascii="Arial" w:hAnsi="Arial" w:cs="Arial"/>
          <w:sz w:val="24"/>
          <w:szCs w:val="24"/>
        </w:rPr>
        <w:t>. ISO.</w:t>
      </w:r>
    </w:p>
    <w:p w14:paraId="43D620F2"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lastRenderedPageBreak/>
        <w:t xml:space="preserve">International Organization for Standardization. (2015). </w:t>
      </w:r>
      <w:r w:rsidRPr="002A5AE2">
        <w:rPr>
          <w:rFonts w:ascii="Arial" w:hAnsi="Arial" w:cs="Arial"/>
          <w:i/>
          <w:sz w:val="24"/>
          <w:szCs w:val="24"/>
        </w:rPr>
        <w:t>ISO 14001:2015 Environmental management systems — Requirements with guidance for use</w:t>
      </w:r>
      <w:r w:rsidRPr="002A5AE2">
        <w:rPr>
          <w:rFonts w:ascii="Arial" w:hAnsi="Arial" w:cs="Arial"/>
          <w:sz w:val="24"/>
          <w:szCs w:val="24"/>
        </w:rPr>
        <w:t>. ISO.</w:t>
      </w:r>
    </w:p>
    <w:p w14:paraId="08BAC660"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International Organization for Standardization. (2018). </w:t>
      </w:r>
      <w:r w:rsidRPr="002A5AE2">
        <w:rPr>
          <w:rFonts w:ascii="Arial" w:hAnsi="Arial" w:cs="Arial"/>
          <w:i/>
          <w:sz w:val="24"/>
          <w:szCs w:val="24"/>
        </w:rPr>
        <w:t>ISO 14024:2018 Environmental labels and declarations — Type I environmental labelling</w:t>
      </w:r>
      <w:r w:rsidRPr="002A5AE2">
        <w:rPr>
          <w:rFonts w:ascii="Arial" w:hAnsi="Arial" w:cs="Arial"/>
          <w:sz w:val="24"/>
          <w:szCs w:val="24"/>
        </w:rPr>
        <w:t>. ISO.</w:t>
      </w:r>
    </w:p>
    <w:p w14:paraId="0058F7EB"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International Organization for Standardization. (2018). </w:t>
      </w:r>
      <w:r w:rsidRPr="002A5AE2">
        <w:rPr>
          <w:rFonts w:ascii="Arial" w:hAnsi="Arial" w:cs="Arial"/>
          <w:i/>
          <w:sz w:val="24"/>
          <w:szCs w:val="24"/>
        </w:rPr>
        <w:t>ISO 14067:2018 Greenhouse gases — Carbon footprint of products</w:t>
      </w:r>
      <w:r w:rsidRPr="002A5AE2">
        <w:rPr>
          <w:rFonts w:ascii="Arial" w:hAnsi="Arial" w:cs="Arial"/>
          <w:sz w:val="24"/>
          <w:szCs w:val="24"/>
        </w:rPr>
        <w:t>. ISO.</w:t>
      </w:r>
    </w:p>
    <w:p w14:paraId="702B97D5"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Khedr, A. M., Hassan, M. K., &amp; Ahmed, S. (2024). Enhancing supply chain management with deep learning and machine learning. </w:t>
      </w:r>
      <w:r w:rsidRPr="002A5AE2">
        <w:rPr>
          <w:rFonts w:ascii="Arial" w:hAnsi="Arial" w:cs="Arial"/>
          <w:i/>
          <w:sz w:val="24"/>
          <w:szCs w:val="24"/>
        </w:rPr>
        <w:t>Journal of Open Innovation: Technology, Market, and Complexity, 10</w:t>
      </w:r>
      <w:r w:rsidRPr="002A5AE2">
        <w:rPr>
          <w:rFonts w:ascii="Arial" w:hAnsi="Arial" w:cs="Arial"/>
          <w:sz w:val="24"/>
          <w:szCs w:val="24"/>
        </w:rPr>
        <w:t>(2), 100379. https://doi.org/10.1016/j.joitmc.2024.100379</w:t>
      </w:r>
    </w:p>
    <w:p w14:paraId="536CBFB0"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Life cycle assessment of paper-based products. (2025). </w:t>
      </w:r>
      <w:r w:rsidRPr="002A5AE2">
        <w:rPr>
          <w:rFonts w:ascii="Arial" w:hAnsi="Arial" w:cs="Arial"/>
          <w:i/>
          <w:sz w:val="24"/>
          <w:szCs w:val="24"/>
        </w:rPr>
        <w:t>Chemical Engineering Transactions, 122</w:t>
      </w:r>
      <w:r w:rsidRPr="002A5AE2">
        <w:rPr>
          <w:rFonts w:ascii="Arial" w:hAnsi="Arial" w:cs="Arial"/>
          <w:sz w:val="24"/>
          <w:szCs w:val="24"/>
        </w:rPr>
        <w:t>. https://doi.org/10.3303/CET25122048</w:t>
      </w:r>
    </w:p>
    <w:p w14:paraId="0E02AE2A"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Meng, F., Liu, G., Yang, Z., &amp; Wang, Y. (2021). Sustainability evaluation of tissue paper under different production paths. </w:t>
      </w:r>
      <w:r w:rsidRPr="002A5AE2">
        <w:rPr>
          <w:rFonts w:ascii="Arial" w:hAnsi="Arial" w:cs="Arial"/>
          <w:i/>
          <w:sz w:val="24"/>
          <w:szCs w:val="24"/>
        </w:rPr>
        <w:t>ACS Sustainable Chemistry &amp; Engineering, 9</w:t>
      </w:r>
      <w:r w:rsidRPr="002A5AE2">
        <w:rPr>
          <w:rFonts w:ascii="Arial" w:hAnsi="Arial" w:cs="Arial"/>
          <w:sz w:val="24"/>
          <w:szCs w:val="24"/>
        </w:rPr>
        <w:t>(21), 7234–7245. https://doi.org/10.1021/acssuschemeng.1c01655</w:t>
      </w:r>
    </w:p>
    <w:p w14:paraId="17E031F7"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Meng, X., Zhang, Y., &amp; Li, H. (2024). Assessing the role of circular economy in provincial low-carbon transitions within China's pulp and paper industry. </w:t>
      </w:r>
      <w:r w:rsidRPr="002A5AE2">
        <w:rPr>
          <w:rFonts w:ascii="Arial" w:hAnsi="Arial" w:cs="Arial"/>
          <w:i/>
          <w:sz w:val="24"/>
          <w:szCs w:val="24"/>
        </w:rPr>
        <w:t>Energy, Ecology and Environment, 29</w:t>
      </w:r>
      <w:r w:rsidRPr="002A5AE2">
        <w:rPr>
          <w:rFonts w:ascii="Arial" w:hAnsi="Arial" w:cs="Arial"/>
          <w:sz w:val="24"/>
          <w:szCs w:val="24"/>
        </w:rPr>
        <w:t>(3), 245–262. https://doi.org/10.1007/s40974-024-00350-8</w:t>
      </w:r>
    </w:p>
    <w:p w14:paraId="0EE986C2" w14:textId="77777777" w:rsidR="00AF58BD" w:rsidRPr="002A5AE2" w:rsidRDefault="00000000" w:rsidP="002A5AE2">
      <w:pPr>
        <w:pStyle w:val="Prrafodelista"/>
        <w:numPr>
          <w:ilvl w:val="0"/>
          <w:numId w:val="11"/>
        </w:numPr>
        <w:jc w:val="both"/>
        <w:rPr>
          <w:rFonts w:ascii="Arial" w:hAnsi="Arial" w:cs="Arial"/>
          <w:sz w:val="24"/>
          <w:szCs w:val="24"/>
        </w:rPr>
      </w:pPr>
      <w:proofErr w:type="spellStart"/>
      <w:r w:rsidRPr="002A5AE2">
        <w:rPr>
          <w:rFonts w:ascii="Arial" w:hAnsi="Arial" w:cs="Arial"/>
          <w:sz w:val="24"/>
          <w:szCs w:val="24"/>
          <w:lang w:val="es-PE"/>
        </w:rPr>
        <w:t>Patalas</w:t>
      </w:r>
      <w:proofErr w:type="spellEnd"/>
      <w:r w:rsidRPr="002A5AE2">
        <w:rPr>
          <w:rFonts w:ascii="Arial" w:hAnsi="Arial" w:cs="Arial"/>
          <w:sz w:val="24"/>
          <w:szCs w:val="24"/>
          <w:lang w:val="es-PE"/>
        </w:rPr>
        <w:t xml:space="preserve">-Maliszewska, J., &amp; Gola, A. (2024). </w:t>
      </w:r>
      <w:r w:rsidRPr="002A5AE2">
        <w:rPr>
          <w:rFonts w:ascii="Arial" w:hAnsi="Arial" w:cs="Arial"/>
          <w:sz w:val="24"/>
          <w:szCs w:val="24"/>
        </w:rPr>
        <w:t xml:space="preserve">Integrating artificial intelligence into the supply chain </w:t>
      </w:r>
      <w:proofErr w:type="gramStart"/>
      <w:r w:rsidRPr="002A5AE2">
        <w:rPr>
          <w:rFonts w:ascii="Arial" w:hAnsi="Arial" w:cs="Arial"/>
          <w:sz w:val="24"/>
          <w:szCs w:val="24"/>
        </w:rPr>
        <w:t>in order to</w:t>
      </w:r>
      <w:proofErr w:type="gramEnd"/>
      <w:r w:rsidRPr="002A5AE2">
        <w:rPr>
          <w:rFonts w:ascii="Arial" w:hAnsi="Arial" w:cs="Arial"/>
          <w:sz w:val="24"/>
          <w:szCs w:val="24"/>
        </w:rPr>
        <w:t xml:space="preserve"> enhance sustainable production: A systematic literature review. </w:t>
      </w:r>
      <w:r w:rsidRPr="002A5AE2">
        <w:rPr>
          <w:rFonts w:ascii="Arial" w:hAnsi="Arial" w:cs="Arial"/>
          <w:i/>
          <w:sz w:val="24"/>
          <w:szCs w:val="24"/>
        </w:rPr>
        <w:t>Sustainability, 16</w:t>
      </w:r>
      <w:r w:rsidRPr="002A5AE2">
        <w:rPr>
          <w:rFonts w:ascii="Arial" w:hAnsi="Arial" w:cs="Arial"/>
          <w:sz w:val="24"/>
          <w:szCs w:val="24"/>
        </w:rPr>
        <w:t>(16), 7110. https://doi.org/10.3390/su16167110</w:t>
      </w:r>
    </w:p>
    <w:p w14:paraId="2FE37288"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Rethinking the paper product carbon footprint accounting standard from a life-cycle perspective. (2023). </w:t>
      </w:r>
      <w:r w:rsidRPr="002A5AE2">
        <w:rPr>
          <w:rFonts w:ascii="Arial" w:hAnsi="Arial" w:cs="Arial"/>
          <w:i/>
          <w:sz w:val="24"/>
          <w:szCs w:val="24"/>
        </w:rPr>
        <w:t>Journal of Cleaner Production, 395</w:t>
      </w:r>
      <w:r w:rsidRPr="002A5AE2">
        <w:rPr>
          <w:rFonts w:ascii="Arial" w:hAnsi="Arial" w:cs="Arial"/>
          <w:sz w:val="24"/>
          <w:szCs w:val="24"/>
        </w:rPr>
        <w:t>, 136421.</w:t>
      </w:r>
    </w:p>
    <w:p w14:paraId="43AD8BC5"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Samuels, A., Johnson, R., &amp; Martinez, L. (2025). Digital transformation in supply chains: Improving resilience and sustainability through AI, blockchain, and IoT. </w:t>
      </w:r>
      <w:r w:rsidRPr="002A5AE2">
        <w:rPr>
          <w:rFonts w:ascii="Arial" w:hAnsi="Arial" w:cs="Arial"/>
          <w:i/>
          <w:sz w:val="24"/>
          <w:szCs w:val="24"/>
        </w:rPr>
        <w:t>Frontiers in Sustainability, 6</w:t>
      </w:r>
      <w:r w:rsidRPr="002A5AE2">
        <w:rPr>
          <w:rFonts w:ascii="Arial" w:hAnsi="Arial" w:cs="Arial"/>
          <w:sz w:val="24"/>
          <w:szCs w:val="24"/>
        </w:rPr>
        <w:t>, 1584580. https://doi.org/10.3389/frsus.2025.1584580</w:t>
      </w:r>
    </w:p>
    <w:p w14:paraId="73D7DF87" w14:textId="77777777" w:rsidR="00AF58BD" w:rsidRPr="002A5AE2" w:rsidRDefault="00000000" w:rsidP="002A5AE2">
      <w:pPr>
        <w:pStyle w:val="Prrafodelista"/>
        <w:numPr>
          <w:ilvl w:val="0"/>
          <w:numId w:val="11"/>
        </w:numPr>
        <w:jc w:val="both"/>
        <w:rPr>
          <w:rFonts w:ascii="Arial" w:hAnsi="Arial" w:cs="Arial"/>
          <w:sz w:val="24"/>
          <w:szCs w:val="24"/>
        </w:rPr>
      </w:pPr>
      <w:r w:rsidRPr="002A5AE2">
        <w:rPr>
          <w:rFonts w:ascii="Arial" w:hAnsi="Arial" w:cs="Arial"/>
          <w:sz w:val="24"/>
          <w:szCs w:val="24"/>
        </w:rPr>
        <w:t xml:space="preserve">Wu, T., &amp; Zuo, M. (2023). Green supply chain transformation and emission reduction based on machine learning. </w:t>
      </w:r>
      <w:r w:rsidRPr="002A5AE2">
        <w:rPr>
          <w:rFonts w:ascii="Arial" w:hAnsi="Arial" w:cs="Arial"/>
          <w:i/>
          <w:sz w:val="24"/>
          <w:szCs w:val="24"/>
        </w:rPr>
        <w:t>Theoretical and Applied Economics, 30</w:t>
      </w:r>
      <w:r w:rsidRPr="002A5AE2">
        <w:rPr>
          <w:rFonts w:ascii="Arial" w:hAnsi="Arial" w:cs="Arial"/>
          <w:sz w:val="24"/>
          <w:szCs w:val="24"/>
        </w:rPr>
        <w:t>(2), 115–134. https://doi.org/10.1177/00368504231165679</w:t>
      </w:r>
    </w:p>
    <w:p w14:paraId="3BA72B84" w14:textId="77777777" w:rsidR="00AF58BD" w:rsidRPr="002A5AE2" w:rsidRDefault="00000000" w:rsidP="002A5AE2">
      <w:pPr>
        <w:pStyle w:val="Ttulo3"/>
        <w:jc w:val="both"/>
        <w:rPr>
          <w:rFonts w:ascii="Arial" w:hAnsi="Arial" w:cs="Arial"/>
          <w:szCs w:val="24"/>
        </w:rPr>
      </w:pPr>
      <w:r w:rsidRPr="002A5AE2">
        <w:rPr>
          <w:rFonts w:ascii="Arial" w:hAnsi="Arial" w:cs="Arial"/>
          <w:szCs w:val="24"/>
        </w:rPr>
        <w:t>Methodological references added for this protocol</w:t>
      </w:r>
    </w:p>
    <w:p w14:paraId="173D28F8"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Braun, V., &amp; Clarke, V. (2006). Using thematic analysis in psychology. </w:t>
      </w:r>
      <w:r w:rsidRPr="002A5AE2">
        <w:rPr>
          <w:rFonts w:ascii="Arial" w:hAnsi="Arial" w:cs="Arial"/>
          <w:i/>
          <w:sz w:val="24"/>
          <w:szCs w:val="24"/>
        </w:rPr>
        <w:t>Qualitative Research in Psychology, 3</w:t>
      </w:r>
      <w:r w:rsidRPr="002A5AE2">
        <w:rPr>
          <w:rFonts w:ascii="Arial" w:hAnsi="Arial" w:cs="Arial"/>
          <w:sz w:val="24"/>
          <w:szCs w:val="24"/>
        </w:rPr>
        <w:t>(2), 77–101.</w:t>
      </w:r>
    </w:p>
    <w:p w14:paraId="2059668C"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Chen, T., &amp; </w:t>
      </w:r>
      <w:proofErr w:type="spellStart"/>
      <w:r w:rsidRPr="002A5AE2">
        <w:rPr>
          <w:rFonts w:ascii="Arial" w:hAnsi="Arial" w:cs="Arial"/>
          <w:sz w:val="24"/>
          <w:szCs w:val="24"/>
        </w:rPr>
        <w:t>Guestrin</w:t>
      </w:r>
      <w:proofErr w:type="spellEnd"/>
      <w:r w:rsidRPr="002A5AE2">
        <w:rPr>
          <w:rFonts w:ascii="Arial" w:hAnsi="Arial" w:cs="Arial"/>
          <w:sz w:val="24"/>
          <w:szCs w:val="24"/>
        </w:rPr>
        <w:t xml:space="preserve">, C. (2016). </w:t>
      </w:r>
      <w:proofErr w:type="spellStart"/>
      <w:r w:rsidRPr="002A5AE2">
        <w:rPr>
          <w:rFonts w:ascii="Arial" w:hAnsi="Arial" w:cs="Arial"/>
          <w:sz w:val="24"/>
          <w:szCs w:val="24"/>
        </w:rPr>
        <w:t>XGBoost</w:t>
      </w:r>
      <w:proofErr w:type="spellEnd"/>
      <w:r w:rsidRPr="002A5AE2">
        <w:rPr>
          <w:rFonts w:ascii="Arial" w:hAnsi="Arial" w:cs="Arial"/>
          <w:sz w:val="24"/>
          <w:szCs w:val="24"/>
        </w:rPr>
        <w:t xml:space="preserve">: A scalable tree boosting system. In </w:t>
      </w:r>
      <w:r w:rsidRPr="002A5AE2">
        <w:rPr>
          <w:rFonts w:ascii="Arial" w:hAnsi="Arial" w:cs="Arial"/>
          <w:i/>
          <w:sz w:val="24"/>
          <w:szCs w:val="24"/>
        </w:rPr>
        <w:t>Proceedings of the 22nd ACM SIGKDD International Conference on Knowledge Discovery and Data Mining</w:t>
      </w:r>
      <w:r w:rsidRPr="002A5AE2">
        <w:rPr>
          <w:rFonts w:ascii="Arial" w:hAnsi="Arial" w:cs="Arial"/>
          <w:sz w:val="24"/>
          <w:szCs w:val="24"/>
        </w:rPr>
        <w:t xml:space="preserve"> (pp. 785–794).</w:t>
      </w:r>
    </w:p>
    <w:p w14:paraId="20BFC208"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Creswell, J. W., &amp; Plano Clark, V. L. (2018). </w:t>
      </w:r>
      <w:r w:rsidRPr="002A5AE2">
        <w:rPr>
          <w:rFonts w:ascii="Arial" w:hAnsi="Arial" w:cs="Arial"/>
          <w:i/>
          <w:sz w:val="24"/>
          <w:szCs w:val="24"/>
        </w:rPr>
        <w:t>Designing and conducting mixed methods research</w:t>
      </w:r>
      <w:r w:rsidRPr="002A5AE2">
        <w:rPr>
          <w:rFonts w:ascii="Arial" w:hAnsi="Arial" w:cs="Arial"/>
          <w:sz w:val="24"/>
          <w:szCs w:val="24"/>
        </w:rPr>
        <w:t xml:space="preserve"> (3rd ed.). SAGE.</w:t>
      </w:r>
    </w:p>
    <w:p w14:paraId="77837715"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lastRenderedPageBreak/>
        <w:t xml:space="preserve">Fetters, M. D., Curry, L. A., &amp; Creswell, J. W. (2013). Achieving integration in mixed methods designs: Principles and practices. </w:t>
      </w:r>
      <w:r w:rsidRPr="002A5AE2">
        <w:rPr>
          <w:rFonts w:ascii="Arial" w:hAnsi="Arial" w:cs="Arial"/>
          <w:i/>
          <w:sz w:val="24"/>
          <w:szCs w:val="24"/>
        </w:rPr>
        <w:t>Health Services Research, 48</w:t>
      </w:r>
      <w:r w:rsidRPr="002A5AE2">
        <w:rPr>
          <w:rFonts w:ascii="Arial" w:hAnsi="Arial" w:cs="Arial"/>
          <w:sz w:val="24"/>
          <w:szCs w:val="24"/>
        </w:rPr>
        <w:t>(6 Pt 2), 2134–2156.</w:t>
      </w:r>
    </w:p>
    <w:p w14:paraId="097C5A17"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Liu, F. T., Ting, K. M., &amp; Zhou, Z.-H. (2008). Isolation forest. In </w:t>
      </w:r>
      <w:r w:rsidRPr="002A5AE2">
        <w:rPr>
          <w:rFonts w:ascii="Arial" w:hAnsi="Arial" w:cs="Arial"/>
          <w:i/>
          <w:sz w:val="24"/>
          <w:szCs w:val="24"/>
        </w:rPr>
        <w:t>Proceedings of the 8th IEEE International Conference on Data Mining</w:t>
      </w:r>
      <w:r w:rsidRPr="002A5AE2">
        <w:rPr>
          <w:rFonts w:ascii="Arial" w:hAnsi="Arial" w:cs="Arial"/>
          <w:sz w:val="24"/>
          <w:szCs w:val="24"/>
        </w:rPr>
        <w:t xml:space="preserve"> (pp. 413–422).</w:t>
      </w:r>
    </w:p>
    <w:p w14:paraId="0298E8C5" w14:textId="77777777" w:rsidR="00AF58BD" w:rsidRPr="002A5AE2" w:rsidRDefault="00000000" w:rsidP="002A5AE2">
      <w:pPr>
        <w:pStyle w:val="Prrafodelista"/>
        <w:numPr>
          <w:ilvl w:val="0"/>
          <w:numId w:val="12"/>
        </w:numPr>
        <w:jc w:val="both"/>
        <w:rPr>
          <w:rFonts w:ascii="Arial" w:hAnsi="Arial" w:cs="Arial"/>
          <w:sz w:val="24"/>
          <w:szCs w:val="24"/>
        </w:rPr>
      </w:pPr>
      <w:r w:rsidRPr="002A5AE2">
        <w:rPr>
          <w:rFonts w:ascii="Arial" w:hAnsi="Arial" w:cs="Arial"/>
          <w:sz w:val="24"/>
          <w:szCs w:val="24"/>
        </w:rPr>
        <w:t xml:space="preserve">Lundberg, S. M., &amp; Lee, S.-I. (2017). A unified approach to interpreting model predictions. In </w:t>
      </w:r>
      <w:r w:rsidRPr="002A5AE2">
        <w:rPr>
          <w:rFonts w:ascii="Arial" w:hAnsi="Arial" w:cs="Arial"/>
          <w:i/>
          <w:sz w:val="24"/>
          <w:szCs w:val="24"/>
        </w:rPr>
        <w:t>Advances in Neural Information Processing Systems 30</w:t>
      </w:r>
      <w:r w:rsidRPr="002A5AE2">
        <w:rPr>
          <w:rFonts w:ascii="Arial" w:hAnsi="Arial" w:cs="Arial"/>
          <w:sz w:val="24"/>
          <w:szCs w:val="24"/>
        </w:rPr>
        <w:t>.</w:t>
      </w:r>
    </w:p>
    <w:p w14:paraId="794CDCC8" w14:textId="2154D32E" w:rsidR="00AF58BD" w:rsidRPr="002A5AE2" w:rsidRDefault="00AF58BD" w:rsidP="002A5AE2">
      <w:pPr>
        <w:pStyle w:val="Prrafodelista"/>
        <w:jc w:val="both"/>
        <w:rPr>
          <w:rFonts w:ascii="Arial" w:hAnsi="Arial" w:cs="Arial"/>
          <w:sz w:val="24"/>
          <w:szCs w:val="24"/>
        </w:rPr>
      </w:pPr>
    </w:p>
    <w:sectPr w:rsidR="00AF58BD" w:rsidRPr="002A5AE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66FA8"/>
    <w:multiLevelType w:val="hybridMultilevel"/>
    <w:tmpl w:val="9BDA6816"/>
    <w:lvl w:ilvl="0" w:tplc="87B258BE">
      <w:start w:val="1"/>
      <w:numFmt w:val="bullet"/>
      <w:lvlText w:val="•"/>
      <w:lvlJc w:val="left"/>
      <w:pPr>
        <w:ind w:left="720" w:hanging="360"/>
      </w:pPr>
    </w:lvl>
    <w:lvl w:ilvl="1" w:tplc="E8F6C156">
      <w:start w:val="1"/>
      <w:numFmt w:val="bullet"/>
      <w:lvlText w:val="o"/>
      <w:lvlJc w:val="left"/>
      <w:pPr>
        <w:ind w:left="1440" w:hanging="360"/>
      </w:pPr>
    </w:lvl>
    <w:lvl w:ilvl="2" w:tplc="94FC1C1A">
      <w:start w:val="1"/>
      <w:numFmt w:val="bullet"/>
      <w:lvlText w:val="▪"/>
      <w:lvlJc w:val="left"/>
      <w:pPr>
        <w:ind w:left="2160" w:hanging="360"/>
      </w:pPr>
    </w:lvl>
    <w:lvl w:ilvl="3" w:tplc="5D169580">
      <w:start w:val="1"/>
      <w:numFmt w:val="bullet"/>
      <w:lvlText w:val="•"/>
      <w:lvlJc w:val="left"/>
      <w:pPr>
        <w:ind w:left="2880" w:hanging="360"/>
      </w:pPr>
    </w:lvl>
    <w:lvl w:ilvl="4" w:tplc="B5284550">
      <w:start w:val="1"/>
      <w:numFmt w:val="bullet"/>
      <w:lvlText w:val="o"/>
      <w:lvlJc w:val="left"/>
      <w:pPr>
        <w:ind w:left="3600" w:hanging="360"/>
      </w:pPr>
    </w:lvl>
    <w:lvl w:ilvl="5" w:tplc="78DCF60E">
      <w:start w:val="1"/>
      <w:numFmt w:val="bullet"/>
      <w:lvlText w:val="▪"/>
      <w:lvlJc w:val="left"/>
      <w:pPr>
        <w:ind w:left="4320" w:hanging="360"/>
      </w:pPr>
    </w:lvl>
    <w:lvl w:ilvl="6" w:tplc="1BF4E85A">
      <w:start w:val="1"/>
      <w:numFmt w:val="bullet"/>
      <w:lvlText w:val="•"/>
      <w:lvlJc w:val="left"/>
      <w:pPr>
        <w:ind w:left="5040" w:hanging="360"/>
      </w:pPr>
    </w:lvl>
    <w:lvl w:ilvl="7" w:tplc="4EA809D4">
      <w:start w:val="1"/>
      <w:numFmt w:val="bullet"/>
      <w:lvlText w:val="o"/>
      <w:lvlJc w:val="left"/>
      <w:pPr>
        <w:ind w:left="5760" w:hanging="360"/>
      </w:pPr>
    </w:lvl>
    <w:lvl w:ilvl="8" w:tplc="6D54C896">
      <w:start w:val="1"/>
      <w:numFmt w:val="bullet"/>
      <w:lvlText w:val="▪"/>
      <w:lvlJc w:val="left"/>
      <w:pPr>
        <w:ind w:left="6480" w:hanging="360"/>
      </w:pPr>
    </w:lvl>
  </w:abstractNum>
  <w:abstractNum w:abstractNumId="1" w15:restartNumberingAfterBreak="0">
    <w:nsid w:val="77B23488"/>
    <w:multiLevelType w:val="hybridMultilevel"/>
    <w:tmpl w:val="F7146576"/>
    <w:lvl w:ilvl="0" w:tplc="DB40DFA4">
      <w:start w:val="1"/>
      <w:numFmt w:val="decimal"/>
      <w:lvlText w:val="%1."/>
      <w:lvlJc w:val="left"/>
      <w:pPr>
        <w:ind w:left="720" w:hanging="360"/>
      </w:pPr>
    </w:lvl>
    <w:lvl w:ilvl="1" w:tplc="42460CCC">
      <w:start w:val="1"/>
      <w:numFmt w:val="lowerLetter"/>
      <w:lvlText w:val="%2."/>
      <w:lvlJc w:val="left"/>
      <w:pPr>
        <w:ind w:left="1440" w:hanging="360"/>
      </w:pPr>
    </w:lvl>
    <w:lvl w:ilvl="2" w:tplc="3A5ADDF2">
      <w:start w:val="1"/>
      <w:numFmt w:val="lowerRoman"/>
      <w:lvlText w:val="%3."/>
      <w:lvlJc w:val="left"/>
      <w:pPr>
        <w:ind w:left="2160" w:hanging="360"/>
      </w:pPr>
    </w:lvl>
    <w:lvl w:ilvl="3" w:tplc="1F2E75A4">
      <w:start w:val="1"/>
      <w:numFmt w:val="decimal"/>
      <w:lvlText w:val="%4."/>
      <w:lvlJc w:val="left"/>
      <w:pPr>
        <w:ind w:left="2880" w:hanging="360"/>
      </w:pPr>
    </w:lvl>
    <w:lvl w:ilvl="4" w:tplc="8E9210DC">
      <w:start w:val="1"/>
      <w:numFmt w:val="lowerLetter"/>
      <w:lvlText w:val="%5."/>
      <w:lvlJc w:val="left"/>
      <w:pPr>
        <w:ind w:left="3600" w:hanging="360"/>
      </w:pPr>
    </w:lvl>
    <w:lvl w:ilvl="5" w:tplc="2BB29380">
      <w:start w:val="1"/>
      <w:numFmt w:val="lowerRoman"/>
      <w:lvlText w:val="%6."/>
      <w:lvlJc w:val="left"/>
      <w:pPr>
        <w:ind w:left="4320" w:hanging="360"/>
      </w:pPr>
    </w:lvl>
    <w:lvl w:ilvl="6" w:tplc="12328C28">
      <w:start w:val="1"/>
      <w:numFmt w:val="decimal"/>
      <w:lvlText w:val="%7."/>
      <w:lvlJc w:val="left"/>
      <w:pPr>
        <w:ind w:left="5040" w:hanging="360"/>
      </w:pPr>
    </w:lvl>
    <w:lvl w:ilvl="7" w:tplc="7B6A0404">
      <w:start w:val="1"/>
      <w:numFmt w:val="lowerLetter"/>
      <w:lvlText w:val="%8."/>
      <w:lvlJc w:val="left"/>
      <w:pPr>
        <w:ind w:left="5760" w:hanging="360"/>
      </w:pPr>
    </w:lvl>
    <w:lvl w:ilvl="8" w:tplc="7B2AA0D2">
      <w:start w:val="1"/>
      <w:numFmt w:val="lowerRoman"/>
      <w:lvlText w:val="%9."/>
      <w:lvlJc w:val="left"/>
      <w:pPr>
        <w:ind w:left="6480" w:hanging="360"/>
      </w:pPr>
    </w:lvl>
  </w:abstractNum>
  <w:num w:numId="1" w16cid:durableId="1201743768">
    <w:abstractNumId w:val="0"/>
  </w:num>
  <w:num w:numId="2" w16cid:durableId="1636906865">
    <w:abstractNumId w:val="0"/>
  </w:num>
  <w:num w:numId="3" w16cid:durableId="1079445475">
    <w:abstractNumId w:val="1"/>
    <w:lvlOverride w:ilvl="0">
      <w:startOverride w:val="1"/>
    </w:lvlOverride>
  </w:num>
  <w:num w:numId="4" w16cid:durableId="725228766">
    <w:abstractNumId w:val="0"/>
  </w:num>
  <w:num w:numId="5" w16cid:durableId="1034617066">
    <w:abstractNumId w:val="0"/>
  </w:num>
  <w:num w:numId="6" w16cid:durableId="1154418006">
    <w:abstractNumId w:val="1"/>
    <w:lvlOverride w:ilvl="0">
      <w:startOverride w:val="1"/>
    </w:lvlOverride>
  </w:num>
  <w:num w:numId="7" w16cid:durableId="2125348832">
    <w:abstractNumId w:val="0"/>
  </w:num>
  <w:num w:numId="8" w16cid:durableId="261305523">
    <w:abstractNumId w:val="0"/>
  </w:num>
  <w:num w:numId="9" w16cid:durableId="905530025">
    <w:abstractNumId w:val="0"/>
  </w:num>
  <w:num w:numId="10" w16cid:durableId="634022451">
    <w:abstractNumId w:val="0"/>
  </w:num>
  <w:num w:numId="11" w16cid:durableId="1557205875">
    <w:abstractNumId w:val="0"/>
  </w:num>
  <w:num w:numId="12" w16cid:durableId="364059620">
    <w:abstractNumId w:val="0"/>
  </w:num>
  <w:num w:numId="13" w16cid:durableId="8658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BD"/>
    <w:rsid w:val="002A5AE2"/>
    <w:rsid w:val="00521124"/>
    <w:rsid w:val="00AF58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0D63"/>
  <w15:docId w15:val="{53C71ABC-BD46-4657-A14B-AA8E65A0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5A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4071</Words>
  <Characters>22718</Characters>
  <Application>Microsoft Office Word</Application>
  <DocSecurity>0</DocSecurity>
  <Lines>597</Lines>
  <Paragraphs>362</Paragraphs>
  <ScaleCrop>false</ScaleCrop>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Protocol — Sustainable Import Patterns in Peru's Paper Products Sector</dc:title>
  <dc:creator>Angela</dc:creator>
  <dc:description>Claude Docs node/cbb30409-4ba3@9 docx-w6</dc:description>
  <cp:lastModifiedBy>Angela Acosta Ticona</cp:lastModifiedBy>
  <cp:revision>2</cp:revision>
  <dcterms:created xsi:type="dcterms:W3CDTF">2026-09-26T04:23:00Z</dcterms:created>
  <dcterms:modified xsi:type="dcterms:W3CDTF">2026-09-26T04:23:00Z</dcterms:modified>
</cp:coreProperties>
</file>