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8796" w14:textId="77777777" w:rsid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u w:val="single"/>
          <w:lang w:val="en-US" w:eastAsia="es-PE"/>
          <w14:ligatures w14:val="none"/>
        </w:rPr>
        <w:t>Deliverable No. 1</w:t>
      </w:r>
    </w:p>
    <w:p w14:paraId="50743CD4" w14:textId="3FC3CEB3"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Selection and Justification of the Research Paradigm</w:t>
      </w:r>
    </w:p>
    <w:p w14:paraId="164E5F8B"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Student:</w:t>
      </w:r>
      <w:r w:rsidRPr="00812BBB">
        <w:rPr>
          <w:rFonts w:ascii="Times New Roman" w:eastAsia="Times New Roman" w:hAnsi="Times New Roman" w:cs="Times New Roman"/>
          <w:kern w:val="0"/>
          <w:sz w:val="20"/>
          <w:szCs w:val="20"/>
          <w:lang w:val="en-US" w:eastAsia="es-PE"/>
          <w14:ligatures w14:val="none"/>
        </w:rPr>
        <w:t xml:space="preserve"> Angela Milén Acosta Ticona</w:t>
      </w:r>
    </w:p>
    <w:p w14:paraId="57B418C2"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1. Topic and Context of the Research</w:t>
      </w:r>
    </w:p>
    <w:p w14:paraId="3326AC56"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kern w:val="0"/>
          <w:sz w:val="20"/>
          <w:szCs w:val="20"/>
          <w:lang w:val="en-US" w:eastAsia="es-PE"/>
          <w14:ligatures w14:val="none"/>
        </w:rPr>
        <w:t xml:space="preserve">The paper products industry faces significant pressure to mitigate its environmental impacts (intensive use of water and energy, and CO₂ emissions). In Peru, imports of paper and cardboard reached approximately US$665 million in 2023; however, Peruvian foreign trade databases managed by SUNAT (Peru's customs and tax authority) and commercial platforms like </w:t>
      </w:r>
      <w:proofErr w:type="spellStart"/>
      <w:r w:rsidRPr="00812BBB">
        <w:rPr>
          <w:rFonts w:ascii="Times New Roman" w:eastAsia="Times New Roman" w:hAnsi="Times New Roman" w:cs="Times New Roman"/>
          <w:kern w:val="0"/>
          <w:sz w:val="20"/>
          <w:szCs w:val="20"/>
          <w:lang w:val="en-US" w:eastAsia="es-PE"/>
          <w14:ligatures w14:val="none"/>
        </w:rPr>
        <w:t>Veritrade</w:t>
      </w:r>
      <w:proofErr w:type="spellEnd"/>
      <w:r w:rsidRPr="00812BBB">
        <w:rPr>
          <w:rFonts w:ascii="Times New Roman" w:eastAsia="Times New Roman" w:hAnsi="Times New Roman" w:cs="Times New Roman"/>
          <w:kern w:val="0"/>
          <w:sz w:val="20"/>
          <w:szCs w:val="20"/>
          <w:lang w:val="en-US" w:eastAsia="es-PE"/>
          <w14:ligatures w14:val="none"/>
        </w:rPr>
        <w:t xml:space="preserve"> do not systematically incorporate environmental variables. This gap makes it impossible for Peruvian public entities (MINAM, SUNAT, MINCETUR, PRODUCE) and local market importers to distinguish sustainable products from conventional ones, hindering the implementation of the National Circular Economy Policy and green public procurement. The research addresses this problem in the imported paper products sector in Peru during the 2022–2026 period.</w:t>
      </w:r>
    </w:p>
    <w:p w14:paraId="6DAE1B42"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2. Preliminary Research Question</w:t>
      </w:r>
    </w:p>
    <w:p w14:paraId="4B589FC6"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kern w:val="0"/>
          <w:sz w:val="20"/>
          <w:szCs w:val="20"/>
          <w:lang w:val="en-US" w:eastAsia="es-PE"/>
          <w14:ligatures w14:val="none"/>
        </w:rPr>
        <w:t>In what way does a methodological approach based on the mixed methods paradigm allow for the quantitative and qualitative identification and interpretation of sustainable import patterns in the paper products industry in Peru during the 2022–2026 period?</w:t>
      </w:r>
    </w:p>
    <w:p w14:paraId="21F63EE1" w14:textId="77777777" w:rsidR="00812BBB" w:rsidRPr="00812BBB" w:rsidRDefault="00812BBB" w:rsidP="00812BBB">
      <w:pPr>
        <w:jc w:val="both"/>
        <w:rPr>
          <w:rFonts w:ascii="Times New Roman" w:eastAsia="Times New Roman" w:hAnsi="Times New Roman" w:cs="Times New Roman"/>
          <w:kern w:val="0"/>
          <w:sz w:val="20"/>
          <w:szCs w:val="20"/>
          <w:lang w:eastAsia="es-PE"/>
          <w14:ligatures w14:val="none"/>
        </w:rPr>
      </w:pPr>
      <w:r w:rsidRPr="00812BBB">
        <w:rPr>
          <w:rFonts w:ascii="Times New Roman" w:eastAsia="Times New Roman" w:hAnsi="Times New Roman" w:cs="Times New Roman"/>
          <w:b/>
          <w:bCs/>
          <w:kern w:val="0"/>
          <w:sz w:val="20"/>
          <w:szCs w:val="20"/>
          <w:lang w:eastAsia="es-PE"/>
          <w14:ligatures w14:val="none"/>
        </w:rPr>
        <w:t xml:space="preserve">3. Chosen </w:t>
      </w:r>
      <w:proofErr w:type="spellStart"/>
      <w:r w:rsidRPr="00812BBB">
        <w:rPr>
          <w:rFonts w:ascii="Times New Roman" w:eastAsia="Times New Roman" w:hAnsi="Times New Roman" w:cs="Times New Roman"/>
          <w:b/>
          <w:bCs/>
          <w:kern w:val="0"/>
          <w:sz w:val="20"/>
          <w:szCs w:val="20"/>
          <w:lang w:eastAsia="es-PE"/>
          <w14:ligatures w14:val="none"/>
        </w:rPr>
        <w:t>Paradigm</w:t>
      </w:r>
      <w:proofErr w:type="spellEnd"/>
      <w:r w:rsidRPr="00812BBB">
        <w:rPr>
          <w:rFonts w:ascii="Times New Roman" w:eastAsia="Times New Roman" w:hAnsi="Times New Roman" w:cs="Times New Roman"/>
          <w:b/>
          <w:bCs/>
          <w:kern w:val="0"/>
          <w:sz w:val="20"/>
          <w:szCs w:val="20"/>
          <w:lang w:eastAsia="es-PE"/>
          <w14:ligatures w14:val="none"/>
        </w:rPr>
        <w:t xml:space="preserve"> and </w:t>
      </w:r>
      <w:proofErr w:type="spellStart"/>
      <w:r w:rsidRPr="00812BBB">
        <w:rPr>
          <w:rFonts w:ascii="Times New Roman" w:eastAsia="Times New Roman" w:hAnsi="Times New Roman" w:cs="Times New Roman"/>
          <w:b/>
          <w:bCs/>
          <w:kern w:val="0"/>
          <w:sz w:val="20"/>
          <w:szCs w:val="20"/>
          <w:lang w:eastAsia="es-PE"/>
          <w14:ligatures w14:val="none"/>
        </w:rPr>
        <w:t>Justification</w:t>
      </w:r>
      <w:proofErr w:type="spellEnd"/>
    </w:p>
    <w:p w14:paraId="7ED7104E"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Chosen Paradigm and Design:</w:t>
      </w:r>
      <w:r w:rsidRPr="00812BBB">
        <w:rPr>
          <w:rFonts w:ascii="Times New Roman" w:eastAsia="Times New Roman" w:hAnsi="Times New Roman" w:cs="Times New Roman"/>
          <w:kern w:val="0"/>
          <w:sz w:val="20"/>
          <w:szCs w:val="20"/>
          <w:lang w:val="en-US" w:eastAsia="es-PE"/>
          <w14:ligatures w14:val="none"/>
        </w:rPr>
        <w:t xml:space="preserve"> The </w:t>
      </w:r>
      <w:r w:rsidRPr="00812BBB">
        <w:rPr>
          <w:rFonts w:ascii="Times New Roman" w:eastAsia="Times New Roman" w:hAnsi="Times New Roman" w:cs="Times New Roman"/>
          <w:b/>
          <w:bCs/>
          <w:kern w:val="0"/>
          <w:sz w:val="20"/>
          <w:szCs w:val="20"/>
          <w:lang w:val="en-US" w:eastAsia="es-PE"/>
          <w14:ligatures w14:val="none"/>
        </w:rPr>
        <w:t>Mixed Methods Paradigm (Pragmatism)</w:t>
      </w:r>
      <w:r w:rsidRPr="00812BBB">
        <w:rPr>
          <w:rFonts w:ascii="Times New Roman" w:eastAsia="Times New Roman" w:hAnsi="Times New Roman" w:cs="Times New Roman"/>
          <w:kern w:val="0"/>
          <w:sz w:val="20"/>
          <w:szCs w:val="20"/>
          <w:lang w:val="en-US" w:eastAsia="es-PE"/>
          <w14:ligatures w14:val="none"/>
        </w:rPr>
        <w:t xml:space="preserve"> is adopted, implementing an </w:t>
      </w:r>
      <w:r w:rsidRPr="00812BBB">
        <w:rPr>
          <w:rFonts w:ascii="Times New Roman" w:eastAsia="Times New Roman" w:hAnsi="Times New Roman" w:cs="Times New Roman"/>
          <w:b/>
          <w:bCs/>
          <w:kern w:val="0"/>
          <w:sz w:val="20"/>
          <w:szCs w:val="20"/>
          <w:lang w:val="en-US" w:eastAsia="es-PE"/>
          <w14:ligatures w14:val="none"/>
        </w:rPr>
        <w:t>Explanatory Sequential Design (QUANT → QUAL)</w:t>
      </w:r>
      <w:r w:rsidRPr="00812BBB">
        <w:rPr>
          <w:rFonts w:ascii="Times New Roman" w:eastAsia="Times New Roman" w:hAnsi="Times New Roman" w:cs="Times New Roman"/>
          <w:kern w:val="0"/>
          <w:sz w:val="20"/>
          <w:szCs w:val="20"/>
          <w:lang w:val="en-US" w:eastAsia="es-PE"/>
          <w14:ligatures w14:val="none"/>
        </w:rPr>
        <w:t xml:space="preserve">. In the initial quantitative phase (QUANT), customs transactional data will be analyzed using machine learning analytical algorithms (K-Means, </w:t>
      </w:r>
      <w:proofErr w:type="spellStart"/>
      <w:r w:rsidRPr="00812BBB">
        <w:rPr>
          <w:rFonts w:ascii="Times New Roman" w:eastAsia="Times New Roman" w:hAnsi="Times New Roman" w:cs="Times New Roman"/>
          <w:kern w:val="0"/>
          <w:sz w:val="20"/>
          <w:szCs w:val="20"/>
          <w:lang w:val="en-US" w:eastAsia="es-PE"/>
          <w14:ligatures w14:val="none"/>
        </w:rPr>
        <w:t>XGBoost</w:t>
      </w:r>
      <w:proofErr w:type="spellEnd"/>
      <w:r w:rsidRPr="00812BBB">
        <w:rPr>
          <w:rFonts w:ascii="Times New Roman" w:eastAsia="Times New Roman" w:hAnsi="Times New Roman" w:cs="Times New Roman"/>
          <w:kern w:val="0"/>
          <w:sz w:val="20"/>
          <w:szCs w:val="20"/>
          <w:lang w:val="en-US" w:eastAsia="es-PE"/>
          <w14:ligatures w14:val="none"/>
        </w:rPr>
        <w:t>, Isolation Forest) to build an index and identify numerical sustainability patterns. In the subsequent qualitative phase (QUAL), semi-structured interviews will be conducted with environmental specialists, customs agents, and Peruvian importers to explain and validate the practical logic behind these quantitative patterns.</w:t>
      </w:r>
    </w:p>
    <w:p w14:paraId="1B9986FC" w14:textId="77777777" w:rsidR="00812BBB" w:rsidRPr="00812BBB" w:rsidRDefault="00812BBB" w:rsidP="00812BBB">
      <w:pPr>
        <w:jc w:val="both"/>
        <w:rPr>
          <w:rFonts w:ascii="Times New Roman" w:eastAsia="Times New Roman" w:hAnsi="Times New Roman" w:cs="Times New Roman"/>
          <w:kern w:val="0"/>
          <w:sz w:val="20"/>
          <w:szCs w:val="20"/>
          <w:lang w:eastAsia="es-PE"/>
          <w14:ligatures w14:val="none"/>
        </w:rPr>
      </w:pPr>
      <w:proofErr w:type="spellStart"/>
      <w:r w:rsidRPr="00812BBB">
        <w:rPr>
          <w:rFonts w:ascii="Times New Roman" w:eastAsia="Times New Roman" w:hAnsi="Times New Roman" w:cs="Times New Roman"/>
          <w:b/>
          <w:bCs/>
          <w:kern w:val="0"/>
          <w:sz w:val="20"/>
          <w:szCs w:val="20"/>
          <w:lang w:eastAsia="es-PE"/>
          <w14:ligatures w14:val="none"/>
        </w:rPr>
        <w:t>Explicit</w:t>
      </w:r>
      <w:proofErr w:type="spellEnd"/>
      <w:r w:rsidRPr="00812BBB">
        <w:rPr>
          <w:rFonts w:ascii="Times New Roman" w:eastAsia="Times New Roman" w:hAnsi="Times New Roman" w:cs="Times New Roman"/>
          <w:b/>
          <w:bCs/>
          <w:kern w:val="0"/>
          <w:sz w:val="20"/>
          <w:szCs w:val="20"/>
          <w:lang w:eastAsia="es-PE"/>
          <w14:ligatures w14:val="none"/>
        </w:rPr>
        <w:t xml:space="preserve"> </w:t>
      </w:r>
      <w:proofErr w:type="spellStart"/>
      <w:r w:rsidRPr="00812BBB">
        <w:rPr>
          <w:rFonts w:ascii="Times New Roman" w:eastAsia="Times New Roman" w:hAnsi="Times New Roman" w:cs="Times New Roman"/>
          <w:b/>
          <w:bCs/>
          <w:kern w:val="0"/>
          <w:sz w:val="20"/>
          <w:szCs w:val="20"/>
          <w:lang w:eastAsia="es-PE"/>
          <w14:ligatures w14:val="none"/>
        </w:rPr>
        <w:t>Rejection</w:t>
      </w:r>
      <w:proofErr w:type="spellEnd"/>
      <w:r w:rsidRPr="00812BBB">
        <w:rPr>
          <w:rFonts w:ascii="Times New Roman" w:eastAsia="Times New Roman" w:hAnsi="Times New Roman" w:cs="Times New Roman"/>
          <w:b/>
          <w:bCs/>
          <w:kern w:val="0"/>
          <w:sz w:val="20"/>
          <w:szCs w:val="20"/>
          <w:lang w:eastAsia="es-PE"/>
          <w14:ligatures w14:val="none"/>
        </w:rPr>
        <w:t xml:space="preserve"> </w:t>
      </w:r>
      <w:proofErr w:type="spellStart"/>
      <w:r w:rsidRPr="00812BBB">
        <w:rPr>
          <w:rFonts w:ascii="Times New Roman" w:eastAsia="Times New Roman" w:hAnsi="Times New Roman" w:cs="Times New Roman"/>
          <w:b/>
          <w:bCs/>
          <w:kern w:val="0"/>
          <w:sz w:val="20"/>
          <w:szCs w:val="20"/>
          <w:lang w:eastAsia="es-PE"/>
          <w14:ligatures w14:val="none"/>
        </w:rPr>
        <w:t>of</w:t>
      </w:r>
      <w:proofErr w:type="spellEnd"/>
      <w:r w:rsidRPr="00812BBB">
        <w:rPr>
          <w:rFonts w:ascii="Times New Roman" w:eastAsia="Times New Roman" w:hAnsi="Times New Roman" w:cs="Times New Roman"/>
          <w:b/>
          <w:bCs/>
          <w:kern w:val="0"/>
          <w:sz w:val="20"/>
          <w:szCs w:val="20"/>
          <w:lang w:eastAsia="es-PE"/>
          <w14:ligatures w14:val="none"/>
        </w:rPr>
        <w:t xml:space="preserve"> Alternatives:</w:t>
      </w:r>
      <w:r w:rsidRPr="00812BBB">
        <w:rPr>
          <w:rFonts w:ascii="Times New Roman" w:eastAsia="Times New Roman" w:hAnsi="Times New Roman" w:cs="Times New Roman"/>
          <w:kern w:val="0"/>
          <w:sz w:val="20"/>
          <w:szCs w:val="20"/>
          <w:lang w:eastAsia="es-PE"/>
          <w14:ligatures w14:val="none"/>
        </w:rPr>
        <w:t xml:space="preserve"> </w:t>
      </w:r>
    </w:p>
    <w:p w14:paraId="6BDC34C1"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Rejection of Positivism (Pure Quantitative):</w:t>
      </w:r>
      <w:r w:rsidRPr="00812BBB">
        <w:rPr>
          <w:rFonts w:ascii="Times New Roman" w:eastAsia="Times New Roman" w:hAnsi="Times New Roman" w:cs="Times New Roman"/>
          <w:kern w:val="0"/>
          <w:sz w:val="20"/>
          <w:szCs w:val="20"/>
          <w:lang w:val="en-US" w:eastAsia="es-PE"/>
          <w14:ligatures w14:val="none"/>
        </w:rPr>
        <w:t xml:space="preserve"> Rejected because statistical or algorithmic analysis of customs data alone cannot explain the qualitative dynamics of the Peruvian market, SUNAT's regulatory barriers, or importers' qualitative purchasing decisions.</w:t>
      </w:r>
    </w:p>
    <w:p w14:paraId="79E0CDB1"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Rejection of Interpretivism (Pure Qualitative):</w:t>
      </w:r>
      <w:r w:rsidRPr="00812BBB">
        <w:rPr>
          <w:rFonts w:ascii="Times New Roman" w:eastAsia="Times New Roman" w:hAnsi="Times New Roman" w:cs="Times New Roman"/>
          <w:kern w:val="0"/>
          <w:sz w:val="20"/>
          <w:szCs w:val="20"/>
          <w:lang w:val="en-US" w:eastAsia="es-PE"/>
          <w14:ligatures w14:val="none"/>
        </w:rPr>
        <w:t xml:space="preserve"> Rejected because actors' qualitative perceptions alone cannot process the volume of foreign trade transactions (SUNAT/</w:t>
      </w:r>
      <w:proofErr w:type="spellStart"/>
      <w:r w:rsidRPr="00812BBB">
        <w:rPr>
          <w:rFonts w:ascii="Times New Roman" w:eastAsia="Times New Roman" w:hAnsi="Times New Roman" w:cs="Times New Roman"/>
          <w:kern w:val="0"/>
          <w:sz w:val="20"/>
          <w:szCs w:val="20"/>
          <w:lang w:val="en-US" w:eastAsia="es-PE"/>
          <w14:ligatures w14:val="none"/>
        </w:rPr>
        <w:t>Veritrade</w:t>
      </w:r>
      <w:proofErr w:type="spellEnd"/>
      <w:r w:rsidRPr="00812BBB">
        <w:rPr>
          <w:rFonts w:ascii="Times New Roman" w:eastAsia="Times New Roman" w:hAnsi="Times New Roman" w:cs="Times New Roman"/>
          <w:kern w:val="0"/>
          <w:sz w:val="20"/>
          <w:szCs w:val="20"/>
          <w:lang w:val="en-US" w:eastAsia="es-PE"/>
          <w14:ligatures w14:val="none"/>
        </w:rPr>
        <w:t xml:space="preserve"> records 2022–2026) or determine sector-wide representative patterns.</w:t>
      </w:r>
    </w:p>
    <w:p w14:paraId="403FE9A0"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Rejection of Design Science Research:</w:t>
      </w:r>
      <w:r w:rsidRPr="00812BBB">
        <w:rPr>
          <w:rFonts w:ascii="Times New Roman" w:eastAsia="Times New Roman" w:hAnsi="Times New Roman" w:cs="Times New Roman"/>
          <w:kern w:val="0"/>
          <w:sz w:val="20"/>
          <w:szCs w:val="20"/>
          <w:lang w:val="en-US" w:eastAsia="es-PE"/>
          <w14:ligatures w14:val="none"/>
        </w:rPr>
        <w:t xml:space="preserve"> Rejected because the main objective of this study is not the construction, coding, or deployment of software or a technological artifact in production, but rather the generation of empirical and interpretive knowledge on import patterns for decision-making and public policy.</w:t>
      </w:r>
    </w:p>
    <w:p w14:paraId="6EF26F5F" w14:textId="77777777" w:rsidR="00812BBB" w:rsidRPr="00812BBB" w:rsidRDefault="00812BBB" w:rsidP="00812BBB">
      <w:pPr>
        <w:jc w:val="both"/>
        <w:rPr>
          <w:rFonts w:ascii="Times New Roman" w:eastAsia="Times New Roman" w:hAnsi="Times New Roman" w:cs="Times New Roman"/>
          <w:kern w:val="0"/>
          <w:sz w:val="20"/>
          <w:szCs w:val="20"/>
          <w:lang w:eastAsia="es-PE"/>
          <w14:ligatures w14:val="none"/>
        </w:rPr>
      </w:pPr>
      <w:r w:rsidRPr="00812BBB">
        <w:rPr>
          <w:rFonts w:ascii="Times New Roman" w:eastAsia="Times New Roman" w:hAnsi="Times New Roman" w:cs="Times New Roman"/>
          <w:b/>
          <w:bCs/>
          <w:kern w:val="0"/>
          <w:sz w:val="20"/>
          <w:szCs w:val="20"/>
          <w:lang w:eastAsia="es-PE"/>
          <w14:ligatures w14:val="none"/>
        </w:rPr>
        <w:t xml:space="preserve">4. </w:t>
      </w:r>
      <w:proofErr w:type="spellStart"/>
      <w:r w:rsidRPr="00812BBB">
        <w:rPr>
          <w:rFonts w:ascii="Times New Roman" w:eastAsia="Times New Roman" w:hAnsi="Times New Roman" w:cs="Times New Roman"/>
          <w:b/>
          <w:bCs/>
          <w:kern w:val="0"/>
          <w:sz w:val="20"/>
          <w:szCs w:val="20"/>
          <w:lang w:eastAsia="es-PE"/>
          <w14:ligatures w14:val="none"/>
        </w:rPr>
        <w:t>Implications</w:t>
      </w:r>
      <w:proofErr w:type="spellEnd"/>
      <w:r w:rsidRPr="00812BBB">
        <w:rPr>
          <w:rFonts w:ascii="Times New Roman" w:eastAsia="Times New Roman" w:hAnsi="Times New Roman" w:cs="Times New Roman"/>
          <w:b/>
          <w:bCs/>
          <w:kern w:val="0"/>
          <w:sz w:val="20"/>
          <w:szCs w:val="20"/>
          <w:lang w:eastAsia="es-PE"/>
          <w14:ligatures w14:val="none"/>
        </w:rPr>
        <w:t xml:space="preserve"> </w:t>
      </w:r>
      <w:proofErr w:type="spellStart"/>
      <w:r w:rsidRPr="00812BBB">
        <w:rPr>
          <w:rFonts w:ascii="Times New Roman" w:eastAsia="Times New Roman" w:hAnsi="Times New Roman" w:cs="Times New Roman"/>
          <w:b/>
          <w:bCs/>
          <w:kern w:val="0"/>
          <w:sz w:val="20"/>
          <w:szCs w:val="20"/>
          <w:lang w:eastAsia="es-PE"/>
          <w14:ligatures w14:val="none"/>
        </w:rPr>
        <w:t>of</w:t>
      </w:r>
      <w:proofErr w:type="spellEnd"/>
      <w:r w:rsidRPr="00812BBB">
        <w:rPr>
          <w:rFonts w:ascii="Times New Roman" w:eastAsia="Times New Roman" w:hAnsi="Times New Roman" w:cs="Times New Roman"/>
          <w:b/>
          <w:bCs/>
          <w:kern w:val="0"/>
          <w:sz w:val="20"/>
          <w:szCs w:val="20"/>
          <w:lang w:eastAsia="es-PE"/>
          <w14:ligatures w14:val="none"/>
        </w:rPr>
        <w:t xml:space="preserve"> </w:t>
      </w:r>
      <w:proofErr w:type="spellStart"/>
      <w:r w:rsidRPr="00812BBB">
        <w:rPr>
          <w:rFonts w:ascii="Times New Roman" w:eastAsia="Times New Roman" w:hAnsi="Times New Roman" w:cs="Times New Roman"/>
          <w:b/>
          <w:bCs/>
          <w:kern w:val="0"/>
          <w:sz w:val="20"/>
          <w:szCs w:val="20"/>
          <w:lang w:eastAsia="es-PE"/>
          <w14:ligatures w14:val="none"/>
        </w:rPr>
        <w:t>the</w:t>
      </w:r>
      <w:proofErr w:type="spellEnd"/>
      <w:r w:rsidRPr="00812BBB">
        <w:rPr>
          <w:rFonts w:ascii="Times New Roman" w:eastAsia="Times New Roman" w:hAnsi="Times New Roman" w:cs="Times New Roman"/>
          <w:b/>
          <w:bCs/>
          <w:kern w:val="0"/>
          <w:sz w:val="20"/>
          <w:szCs w:val="20"/>
          <w:lang w:eastAsia="es-PE"/>
          <w14:ligatures w14:val="none"/>
        </w:rPr>
        <w:t xml:space="preserve"> Choice</w:t>
      </w:r>
    </w:p>
    <w:p w14:paraId="65A77DF4"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Data:</w:t>
      </w:r>
      <w:r w:rsidRPr="00812BBB">
        <w:rPr>
          <w:rFonts w:ascii="Times New Roman" w:eastAsia="Times New Roman" w:hAnsi="Times New Roman" w:cs="Times New Roman"/>
          <w:kern w:val="0"/>
          <w:sz w:val="20"/>
          <w:szCs w:val="20"/>
          <w:lang w:val="en-US" w:eastAsia="es-PE"/>
          <w14:ligatures w14:val="none"/>
        </w:rPr>
        <w:t xml:space="preserve"> Secondary quantitative data from Peruvian customs declarations (2022–2026) and primary qualitative data derived from interviews with experts in the Peruvian customs and environmental fields.</w:t>
      </w:r>
    </w:p>
    <w:p w14:paraId="6597EFF3"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Methods:</w:t>
      </w:r>
      <w:r w:rsidRPr="00812BBB">
        <w:rPr>
          <w:rFonts w:ascii="Times New Roman" w:eastAsia="Times New Roman" w:hAnsi="Times New Roman" w:cs="Times New Roman"/>
          <w:kern w:val="0"/>
          <w:sz w:val="20"/>
          <w:szCs w:val="20"/>
          <w:lang w:val="en-US" w:eastAsia="es-PE"/>
          <w14:ligatures w14:val="none"/>
        </w:rPr>
        <w:t xml:space="preserve"> Quantitative analysis using clustering and classification algorithms (K-Means, </w:t>
      </w:r>
      <w:proofErr w:type="spellStart"/>
      <w:r w:rsidRPr="00812BBB">
        <w:rPr>
          <w:rFonts w:ascii="Times New Roman" w:eastAsia="Times New Roman" w:hAnsi="Times New Roman" w:cs="Times New Roman"/>
          <w:kern w:val="0"/>
          <w:sz w:val="20"/>
          <w:szCs w:val="20"/>
          <w:lang w:val="en-US" w:eastAsia="es-PE"/>
          <w14:ligatures w14:val="none"/>
        </w:rPr>
        <w:t>XGBoost</w:t>
      </w:r>
      <w:proofErr w:type="spellEnd"/>
      <w:r w:rsidRPr="00812BBB">
        <w:rPr>
          <w:rFonts w:ascii="Times New Roman" w:eastAsia="Times New Roman" w:hAnsi="Times New Roman" w:cs="Times New Roman"/>
          <w:kern w:val="0"/>
          <w:sz w:val="20"/>
          <w:szCs w:val="20"/>
          <w:lang w:val="en-US" w:eastAsia="es-PE"/>
          <w14:ligatures w14:val="none"/>
        </w:rPr>
        <w:t>, SHAP), sequentially integrated with qualitative thematic analysis to interpret the findings.</w:t>
      </w:r>
    </w:p>
    <w:p w14:paraId="10DD3637"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Contribution:</w:t>
      </w:r>
      <w:r w:rsidRPr="00812BBB">
        <w:rPr>
          <w:rFonts w:ascii="Times New Roman" w:eastAsia="Times New Roman" w:hAnsi="Times New Roman" w:cs="Times New Roman"/>
          <w:kern w:val="0"/>
          <w:sz w:val="20"/>
          <w:szCs w:val="20"/>
          <w:lang w:val="en-US" w:eastAsia="es-PE"/>
          <w14:ligatures w14:val="none"/>
        </w:rPr>
        <w:t xml:space="preserve"> An empirical-explanatory evaluation framework that links customs variables with sustainability criteria for formulating public policy in Peru and green procurement strategies.</w:t>
      </w:r>
    </w:p>
    <w:p w14:paraId="117595E7"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Target Venues:</w:t>
      </w:r>
      <w:r w:rsidRPr="00812BBB">
        <w:rPr>
          <w:rFonts w:ascii="Times New Roman" w:eastAsia="Times New Roman" w:hAnsi="Times New Roman" w:cs="Times New Roman"/>
          <w:kern w:val="0"/>
          <w:sz w:val="20"/>
          <w:szCs w:val="20"/>
          <w:lang w:val="en-US" w:eastAsia="es-PE"/>
          <w14:ligatures w14:val="none"/>
        </w:rPr>
        <w:t xml:space="preserve"> Journals oriented toward applied and interdisciplinary research such as </w:t>
      </w:r>
      <w:r w:rsidRPr="00812BBB">
        <w:rPr>
          <w:rFonts w:ascii="Times New Roman" w:eastAsia="Times New Roman" w:hAnsi="Times New Roman" w:cs="Times New Roman"/>
          <w:i/>
          <w:iCs/>
          <w:kern w:val="0"/>
          <w:sz w:val="20"/>
          <w:szCs w:val="20"/>
          <w:lang w:val="en-US" w:eastAsia="es-PE"/>
          <w14:ligatures w14:val="none"/>
        </w:rPr>
        <w:t>Sustainability</w:t>
      </w:r>
      <w:r w:rsidRPr="00812BBB">
        <w:rPr>
          <w:rFonts w:ascii="Times New Roman" w:eastAsia="Times New Roman" w:hAnsi="Times New Roman" w:cs="Times New Roman"/>
          <w:kern w:val="0"/>
          <w:sz w:val="20"/>
          <w:szCs w:val="20"/>
          <w:lang w:val="en-US" w:eastAsia="es-PE"/>
          <w14:ligatures w14:val="none"/>
        </w:rPr>
        <w:t xml:space="preserve"> (MDPI), </w:t>
      </w:r>
      <w:r w:rsidRPr="00812BBB">
        <w:rPr>
          <w:rFonts w:ascii="Times New Roman" w:eastAsia="Times New Roman" w:hAnsi="Times New Roman" w:cs="Times New Roman"/>
          <w:i/>
          <w:iCs/>
          <w:kern w:val="0"/>
          <w:sz w:val="20"/>
          <w:szCs w:val="20"/>
          <w:lang w:val="en-US" w:eastAsia="es-PE"/>
          <w14:ligatures w14:val="none"/>
        </w:rPr>
        <w:t>Journal of Cleaner Production</w:t>
      </w:r>
      <w:r w:rsidRPr="00812BBB">
        <w:rPr>
          <w:rFonts w:ascii="Times New Roman" w:eastAsia="Times New Roman" w:hAnsi="Times New Roman" w:cs="Times New Roman"/>
          <w:kern w:val="0"/>
          <w:sz w:val="20"/>
          <w:szCs w:val="20"/>
          <w:lang w:val="en-US" w:eastAsia="es-PE"/>
          <w14:ligatures w14:val="none"/>
        </w:rPr>
        <w:t xml:space="preserve"> (Elsevier), and conferences on technology adoption and public management.</w:t>
      </w:r>
    </w:p>
    <w:p w14:paraId="6704820D" w14:textId="77777777" w:rsidR="00812BBB"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b/>
          <w:bCs/>
          <w:kern w:val="0"/>
          <w:sz w:val="20"/>
          <w:szCs w:val="20"/>
          <w:lang w:val="en-US" w:eastAsia="es-PE"/>
          <w14:ligatures w14:val="none"/>
        </w:rPr>
        <w:t>5. Intellectual Honesty (Doubt or Methodological Tension)</w:t>
      </w:r>
    </w:p>
    <w:p w14:paraId="20C81376" w14:textId="2EA7682D" w:rsidR="006D29F9" w:rsidRPr="00812BBB" w:rsidRDefault="00812BBB" w:rsidP="00812BBB">
      <w:pPr>
        <w:jc w:val="both"/>
        <w:rPr>
          <w:rFonts w:ascii="Times New Roman" w:eastAsia="Times New Roman" w:hAnsi="Times New Roman" w:cs="Times New Roman"/>
          <w:kern w:val="0"/>
          <w:sz w:val="20"/>
          <w:szCs w:val="20"/>
          <w:lang w:val="en-US" w:eastAsia="es-PE"/>
          <w14:ligatures w14:val="none"/>
        </w:rPr>
      </w:pPr>
      <w:r w:rsidRPr="00812BBB">
        <w:rPr>
          <w:rFonts w:ascii="Times New Roman" w:eastAsia="Times New Roman" w:hAnsi="Times New Roman" w:cs="Times New Roman"/>
          <w:kern w:val="0"/>
          <w:sz w:val="20"/>
          <w:szCs w:val="20"/>
          <w:lang w:val="en-US" w:eastAsia="es-PE"/>
          <w14:ligatures w14:val="none"/>
        </w:rPr>
        <w:t xml:space="preserve">There is a methodological tension regarding the risk of "confirmation bias" during the qualitative phase (QUAL), where customs experts' interpretations might attempt to force explanations for quantitative patterns (QUANT) that could </w:t>
      </w:r>
      <w:proofErr w:type="gramStart"/>
      <w:r w:rsidRPr="00812BBB">
        <w:rPr>
          <w:rFonts w:ascii="Times New Roman" w:eastAsia="Times New Roman" w:hAnsi="Times New Roman" w:cs="Times New Roman"/>
          <w:kern w:val="0"/>
          <w:sz w:val="20"/>
          <w:szCs w:val="20"/>
          <w:lang w:val="en-US" w:eastAsia="es-PE"/>
          <w14:ligatures w14:val="none"/>
        </w:rPr>
        <w:t>actually correspond</w:t>
      </w:r>
      <w:proofErr w:type="gramEnd"/>
      <w:r w:rsidRPr="00812BBB">
        <w:rPr>
          <w:rFonts w:ascii="Times New Roman" w:eastAsia="Times New Roman" w:hAnsi="Times New Roman" w:cs="Times New Roman"/>
          <w:kern w:val="0"/>
          <w:sz w:val="20"/>
          <w:szCs w:val="20"/>
          <w:lang w:val="en-US" w:eastAsia="es-PE"/>
          <w14:ligatures w14:val="none"/>
        </w:rPr>
        <w:t xml:space="preserve"> to anomalies or record inconsistencies in SUNAT's customs declarations.</w:t>
      </w:r>
    </w:p>
    <w:sectPr w:rsidR="006D29F9" w:rsidRPr="00812BBB" w:rsidSect="00812BBB">
      <w:pgSz w:w="11906" w:h="16838"/>
      <w:pgMar w:top="568" w:right="991"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1468E"/>
    <w:multiLevelType w:val="multilevel"/>
    <w:tmpl w:val="E5B01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9775A1"/>
    <w:multiLevelType w:val="multilevel"/>
    <w:tmpl w:val="DB00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575035">
    <w:abstractNumId w:val="0"/>
  </w:num>
  <w:num w:numId="2" w16cid:durableId="678192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BBB"/>
    <w:rsid w:val="004F72A5"/>
    <w:rsid w:val="006D29F9"/>
    <w:rsid w:val="007B4952"/>
    <w:rsid w:val="00812B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8F2E"/>
  <w15:chartTrackingRefBased/>
  <w15:docId w15:val="{3E7A953F-034B-4E62-A6EC-5A2D11470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2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2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2B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2B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2B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2B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2B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2B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2B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2B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2B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2B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2B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2B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2B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2B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2B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2BBB"/>
    <w:rPr>
      <w:rFonts w:eastAsiaTheme="majorEastAsia" w:cstheme="majorBidi"/>
      <w:color w:val="272727" w:themeColor="text1" w:themeTint="D8"/>
    </w:rPr>
  </w:style>
  <w:style w:type="paragraph" w:styleId="Ttulo">
    <w:name w:val="Title"/>
    <w:basedOn w:val="Normal"/>
    <w:next w:val="Normal"/>
    <w:link w:val="TtuloCar"/>
    <w:uiPriority w:val="10"/>
    <w:qFormat/>
    <w:rsid w:val="00812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2B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2B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2B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2BBB"/>
    <w:pPr>
      <w:spacing w:before="160"/>
      <w:jc w:val="center"/>
    </w:pPr>
    <w:rPr>
      <w:i/>
      <w:iCs/>
      <w:color w:val="404040" w:themeColor="text1" w:themeTint="BF"/>
    </w:rPr>
  </w:style>
  <w:style w:type="character" w:customStyle="1" w:styleId="CitaCar">
    <w:name w:val="Cita Car"/>
    <w:basedOn w:val="Fuentedeprrafopredeter"/>
    <w:link w:val="Cita"/>
    <w:uiPriority w:val="29"/>
    <w:rsid w:val="00812BBB"/>
    <w:rPr>
      <w:i/>
      <w:iCs/>
      <w:color w:val="404040" w:themeColor="text1" w:themeTint="BF"/>
    </w:rPr>
  </w:style>
  <w:style w:type="paragraph" w:styleId="Prrafodelista">
    <w:name w:val="List Paragraph"/>
    <w:basedOn w:val="Normal"/>
    <w:uiPriority w:val="34"/>
    <w:qFormat/>
    <w:rsid w:val="00812BBB"/>
    <w:pPr>
      <w:ind w:left="720"/>
      <w:contextualSpacing/>
    </w:pPr>
  </w:style>
  <w:style w:type="character" w:styleId="nfasisintenso">
    <w:name w:val="Intense Emphasis"/>
    <w:basedOn w:val="Fuentedeprrafopredeter"/>
    <w:uiPriority w:val="21"/>
    <w:qFormat/>
    <w:rsid w:val="00812BBB"/>
    <w:rPr>
      <w:i/>
      <w:iCs/>
      <w:color w:val="0F4761" w:themeColor="accent1" w:themeShade="BF"/>
    </w:rPr>
  </w:style>
  <w:style w:type="paragraph" w:styleId="Citadestacada">
    <w:name w:val="Intense Quote"/>
    <w:basedOn w:val="Normal"/>
    <w:next w:val="Normal"/>
    <w:link w:val="CitadestacadaCar"/>
    <w:uiPriority w:val="30"/>
    <w:qFormat/>
    <w:rsid w:val="00812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2BBB"/>
    <w:rPr>
      <w:i/>
      <w:iCs/>
      <w:color w:val="0F4761" w:themeColor="accent1" w:themeShade="BF"/>
    </w:rPr>
  </w:style>
  <w:style w:type="character" w:styleId="Referenciaintensa">
    <w:name w:val="Intense Reference"/>
    <w:basedOn w:val="Fuentedeprrafopredeter"/>
    <w:uiPriority w:val="32"/>
    <w:qFormat/>
    <w:rsid w:val="00812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FCA86-5508-4B74-8C8B-2D8E7A639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617</Words>
  <Characters>3347</Characters>
  <Application>Microsoft Office Word</Application>
  <DocSecurity>0</DocSecurity>
  <Lines>128</Lines>
  <Paragraphs>113</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Acosta Ticona</dc:creator>
  <cp:keywords/>
  <dc:description/>
  <cp:lastModifiedBy>Angela Acosta Ticona</cp:lastModifiedBy>
  <cp:revision>1</cp:revision>
  <dcterms:created xsi:type="dcterms:W3CDTF">2026-09-10T03:30:00Z</dcterms:created>
  <dcterms:modified xsi:type="dcterms:W3CDTF">2026-09-10T03:36:00Z</dcterms:modified>
</cp:coreProperties>
</file>