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AC282" w14:textId="77777777" w:rsidR="00D0224F" w:rsidRPr="00375F50" w:rsidRDefault="00000000">
      <w:pPr>
        <w:spacing w:after="100"/>
        <w:rPr>
          <w:lang w:val="en-US"/>
        </w:rPr>
      </w:pPr>
      <w:r w:rsidRPr="00375F50">
        <w:rPr>
          <w:b/>
          <w:bCs/>
          <w:sz w:val="26"/>
          <w:szCs w:val="26"/>
          <w:u w:val="single"/>
          <w:lang w:val="en-US"/>
        </w:rPr>
        <w:t>Deliverable No. 1 (Revised)</w:t>
      </w:r>
    </w:p>
    <w:p w14:paraId="32D4CC12" w14:textId="77777777" w:rsidR="00D0224F" w:rsidRPr="00375F50" w:rsidRDefault="00000000">
      <w:pPr>
        <w:spacing w:after="60"/>
        <w:rPr>
          <w:lang w:val="en-US"/>
        </w:rPr>
      </w:pPr>
      <w:r w:rsidRPr="00375F50">
        <w:rPr>
          <w:b/>
          <w:bCs/>
          <w:sz w:val="24"/>
          <w:szCs w:val="24"/>
          <w:lang w:val="en-US"/>
        </w:rPr>
        <w:t>Selection and Justification of the Research Paradigm</w:t>
      </w:r>
    </w:p>
    <w:p w14:paraId="28A59606" w14:textId="77777777" w:rsidR="00D0224F" w:rsidRPr="00375F50" w:rsidRDefault="00000000">
      <w:pPr>
        <w:spacing w:after="200"/>
        <w:rPr>
          <w:lang w:val="en-US"/>
        </w:rPr>
      </w:pPr>
      <w:r w:rsidRPr="00375F50">
        <w:rPr>
          <w:b/>
          <w:bCs/>
          <w:lang w:val="en-US"/>
        </w:rPr>
        <w:t xml:space="preserve">Student: </w:t>
      </w:r>
      <w:r w:rsidRPr="00375F50">
        <w:rPr>
          <w:lang w:val="en-US"/>
        </w:rPr>
        <w:t>Angela Milén Acosta Ticona</w:t>
      </w:r>
    </w:p>
    <w:p w14:paraId="093106D3" w14:textId="77777777" w:rsidR="00D0224F" w:rsidRPr="00375F50" w:rsidRDefault="00000000" w:rsidP="00375F50">
      <w:pPr>
        <w:spacing w:before="300" w:after="150"/>
        <w:jc w:val="both"/>
        <w:rPr>
          <w:lang w:val="en-US"/>
        </w:rPr>
      </w:pPr>
      <w:r w:rsidRPr="00375F50">
        <w:rPr>
          <w:b/>
          <w:bCs/>
          <w:sz w:val="24"/>
          <w:szCs w:val="24"/>
          <w:lang w:val="en-US"/>
        </w:rPr>
        <w:t>1. Topic and Context of the Research</w:t>
      </w:r>
    </w:p>
    <w:p w14:paraId="38DF8BD1" w14:textId="77777777" w:rsidR="00D0224F" w:rsidRPr="00375F50" w:rsidRDefault="00000000" w:rsidP="00375F50">
      <w:pPr>
        <w:spacing w:after="200"/>
        <w:jc w:val="both"/>
        <w:rPr>
          <w:lang w:val="en-US"/>
        </w:rPr>
      </w:pPr>
      <w:r w:rsidRPr="00375F50">
        <w:rPr>
          <w:lang w:val="en-US"/>
        </w:rPr>
        <w:t>The paper products industry faces significant pressure to mitigate its environmental impacts (intensive use of water and energy, and CO</w:t>
      </w:r>
      <w:r w:rsidRPr="00375F50">
        <w:rPr>
          <w:vertAlign w:val="subscript"/>
          <w:lang w:val="en-US"/>
        </w:rPr>
        <w:t>2</w:t>
      </w:r>
      <w:r w:rsidRPr="00375F50">
        <w:rPr>
          <w:lang w:val="en-US"/>
        </w:rPr>
        <w:t xml:space="preserve"> emissions). In Peru, imports of paper and cardboard reached approximately US$665 million in 2023; however, Peruvian foreign trade databases managed by SUNAT (Peru's customs and tax authority) and commercial platforms like </w:t>
      </w:r>
      <w:proofErr w:type="spellStart"/>
      <w:r w:rsidRPr="00375F50">
        <w:rPr>
          <w:lang w:val="en-US"/>
        </w:rPr>
        <w:t>Veritrade</w:t>
      </w:r>
      <w:proofErr w:type="spellEnd"/>
      <w:r w:rsidRPr="00375F50">
        <w:rPr>
          <w:lang w:val="en-US"/>
        </w:rPr>
        <w:t xml:space="preserve"> do not systematically incorporate environmental variables. This absence of native sustainability fields is the central data problem of this study: no algorithm can discover sustainability patterns in data that contain no sustainability information. The study therefore does not search for sustainability directly in the records, but constructs and validates explicit proxies from the fields the records do contain (Section 3). This gap makes it impossible for Peruvian public entities (MINAM, SUNAT, MINCETUR, PRODUCE) and local market importers to distinguish sustainable products from conventional ones, hindering the implementation of the National Circular Economy Policy and green public procurement. The research addresses this problem in the imported paper products sector in Peru during the 2022–2026 period.</w:t>
      </w:r>
    </w:p>
    <w:p w14:paraId="7303AF7C" w14:textId="77777777" w:rsidR="00D0224F" w:rsidRPr="00375F50" w:rsidRDefault="00000000" w:rsidP="00375F50">
      <w:pPr>
        <w:spacing w:before="300" w:after="150"/>
        <w:jc w:val="both"/>
        <w:rPr>
          <w:lang w:val="en-US"/>
        </w:rPr>
      </w:pPr>
      <w:r w:rsidRPr="00375F50">
        <w:rPr>
          <w:b/>
          <w:bCs/>
          <w:sz w:val="24"/>
          <w:szCs w:val="24"/>
          <w:lang w:val="en-US"/>
        </w:rPr>
        <w:t>2. Preliminary Research Question</w:t>
      </w:r>
    </w:p>
    <w:p w14:paraId="6F700ABA" w14:textId="77777777" w:rsidR="00D0224F" w:rsidRPr="00375F50" w:rsidRDefault="00000000" w:rsidP="00375F50">
      <w:pPr>
        <w:spacing w:after="200"/>
        <w:jc w:val="both"/>
        <w:rPr>
          <w:lang w:val="en-US"/>
        </w:rPr>
      </w:pPr>
      <w:r w:rsidRPr="00375F50">
        <w:rPr>
          <w:lang w:val="en-US"/>
        </w:rPr>
        <w:t>What sustainable import patterns characterize the Peruvian paper products sector between 2022 and 2026, and how do sector actors (customs agents, importers, and environmental specialists) explain them?</w:t>
      </w:r>
    </w:p>
    <w:p w14:paraId="385863F4" w14:textId="77777777" w:rsidR="00D0224F" w:rsidRPr="00375F50" w:rsidRDefault="00000000" w:rsidP="00375F50">
      <w:pPr>
        <w:spacing w:after="200"/>
        <w:jc w:val="both"/>
        <w:rPr>
          <w:lang w:val="en-US"/>
        </w:rPr>
      </w:pPr>
      <w:r w:rsidRPr="00375F50">
        <w:rPr>
          <w:i/>
          <w:iCs/>
          <w:lang w:val="en-US"/>
        </w:rPr>
        <w:t xml:space="preserve">Note: </w:t>
      </w:r>
      <w:r w:rsidRPr="00375F50">
        <w:rPr>
          <w:lang w:val="en-US"/>
        </w:rPr>
        <w:t>the question now centers on the phenomenon (sustainable import patterns and their explanation) rather than on the methodology used to study it. The methodological approach is specified in Section 3.</w:t>
      </w:r>
    </w:p>
    <w:p w14:paraId="31FF4E26" w14:textId="77777777" w:rsidR="00D0224F" w:rsidRPr="00375F50" w:rsidRDefault="00000000" w:rsidP="00375F50">
      <w:pPr>
        <w:spacing w:before="300" w:after="150"/>
        <w:jc w:val="both"/>
        <w:rPr>
          <w:lang w:val="en-US"/>
        </w:rPr>
      </w:pPr>
      <w:r w:rsidRPr="00375F50">
        <w:rPr>
          <w:b/>
          <w:bCs/>
          <w:sz w:val="24"/>
          <w:szCs w:val="24"/>
          <w:lang w:val="en-US"/>
        </w:rPr>
        <w:t>3. Chosen Paradigm and Justification</w:t>
      </w:r>
    </w:p>
    <w:p w14:paraId="2A65DEB9" w14:textId="77777777" w:rsidR="00D0224F" w:rsidRPr="00375F50" w:rsidRDefault="00000000" w:rsidP="00375F50">
      <w:pPr>
        <w:spacing w:after="200"/>
        <w:jc w:val="both"/>
        <w:rPr>
          <w:lang w:val="en-US"/>
        </w:rPr>
      </w:pPr>
      <w:r w:rsidRPr="00375F50">
        <w:rPr>
          <w:b/>
          <w:bCs/>
          <w:lang w:val="en-US"/>
        </w:rPr>
        <w:t xml:space="preserve">Paradigm, methodology, and design (separated). </w:t>
      </w:r>
    </w:p>
    <w:p w14:paraId="211E2DA9"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Paradigm: </w:t>
      </w:r>
      <w:r w:rsidRPr="00375F50">
        <w:rPr>
          <w:lang w:val="en-US"/>
        </w:rPr>
        <w:t>Pragmatism. Ontologically, this study treats sustainable import patterns as real enough to be measured through proxies, while accepting that their meaning is constructed and contested by the actors who classify and trade the goods. Epistemologically, knowledge is produced by combining what can be counted in customs records with what practitioners say those numbers mean, and a method is judged by whether it helps answer the research question, not by prior allegiance to a single tradition.</w:t>
      </w:r>
    </w:p>
    <w:p w14:paraId="1DCA66B1"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Methodology: </w:t>
      </w:r>
      <w:r w:rsidRPr="00375F50">
        <w:rPr>
          <w:lang w:val="en-US"/>
        </w:rPr>
        <w:t>Mixed methods, in which quantitative and qualitative strands are integrated rather than run in parallel.</w:t>
      </w:r>
    </w:p>
    <w:p w14:paraId="78D253E9"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Design: </w:t>
      </w:r>
      <w:r w:rsidRPr="00375F50">
        <w:rPr>
          <w:lang w:val="en-US"/>
        </w:rPr>
        <w:t>Explanatory Sequential (QUANT → QUAL). In the initial quantitative phase (QUANT), customs transactional data are analyzed with machine learning algorithms to detect numerical patterns. In the subsequent qualitative phase (QUAL), semi-structured interviews with environmental specialists, customs agents, and Peruvian importers explain and validate the practical logic behind those patterns.</w:t>
      </w:r>
    </w:p>
    <w:p w14:paraId="37EA1A04" w14:textId="77777777" w:rsidR="00D0224F" w:rsidRPr="00375F50" w:rsidRDefault="00000000" w:rsidP="00375F50">
      <w:pPr>
        <w:spacing w:after="200"/>
        <w:jc w:val="both"/>
        <w:rPr>
          <w:lang w:val="en-US"/>
        </w:rPr>
      </w:pPr>
      <w:r w:rsidRPr="00375F50">
        <w:rPr>
          <w:b/>
          <w:bCs/>
          <w:lang w:val="en-US"/>
        </w:rPr>
        <w:t xml:space="preserve">Data problem and proxy strategy. </w:t>
      </w:r>
    </w:p>
    <w:p w14:paraId="2AF4D569" w14:textId="77777777" w:rsidR="00D0224F" w:rsidRPr="00375F50" w:rsidRDefault="00000000" w:rsidP="00375F50">
      <w:pPr>
        <w:spacing w:after="200"/>
        <w:jc w:val="both"/>
        <w:rPr>
          <w:lang w:val="en-US"/>
        </w:rPr>
      </w:pPr>
      <w:r w:rsidRPr="00375F50">
        <w:rPr>
          <w:lang w:val="en-US"/>
        </w:rPr>
        <w:t xml:space="preserve">Because SUNAT and </w:t>
      </w:r>
      <w:proofErr w:type="spellStart"/>
      <w:r w:rsidRPr="00375F50">
        <w:rPr>
          <w:lang w:val="en-US"/>
        </w:rPr>
        <w:t>Veritrade</w:t>
      </w:r>
      <w:proofErr w:type="spellEnd"/>
      <w:r w:rsidRPr="00375F50">
        <w:rPr>
          <w:lang w:val="en-US"/>
        </w:rPr>
        <w:t xml:space="preserve"> records carry no environmental variables, sustainability will be operationalized through explicit, defensible proxies rather than inferred directly: </w:t>
      </w:r>
    </w:p>
    <w:p w14:paraId="0DABDB57"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Tariff subheadings (HS codes) </w:t>
      </w:r>
      <w:r w:rsidRPr="00375F50">
        <w:rPr>
          <w:lang w:val="en-US"/>
        </w:rPr>
        <w:t>that distinguish recycled or certified paper grades from conventional ones;</w:t>
      </w:r>
    </w:p>
    <w:p w14:paraId="150A42F1"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Country and supplier of origin, </w:t>
      </w:r>
      <w:r w:rsidRPr="00375F50">
        <w:rPr>
          <w:lang w:val="en-US"/>
        </w:rPr>
        <w:t>cross-referenced with known certification prevalence and environmental regulation in the exporting country;</w:t>
      </w:r>
    </w:p>
    <w:p w14:paraId="45B6E314"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Certification wording </w:t>
      </w:r>
      <w:r w:rsidRPr="00375F50">
        <w:rPr>
          <w:lang w:val="en-US"/>
        </w:rPr>
        <w:t>(e.g., FSC, PEFC, ISO 14001) recorded in product descriptions or supplier documentation;</w:t>
      </w:r>
    </w:p>
    <w:p w14:paraId="143253B4"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Recycled-content wording </w:t>
      </w:r>
      <w:r w:rsidRPr="00375F50">
        <w:rPr>
          <w:lang w:val="en-US"/>
        </w:rPr>
        <w:t>in product descriptions or commercial invoices.</w:t>
      </w:r>
    </w:p>
    <w:p w14:paraId="69C1E745" w14:textId="77777777" w:rsidR="00D0224F" w:rsidRPr="00375F50" w:rsidRDefault="00000000" w:rsidP="00375F50">
      <w:pPr>
        <w:spacing w:after="200"/>
        <w:jc w:val="both"/>
        <w:rPr>
          <w:lang w:val="en-US"/>
        </w:rPr>
      </w:pPr>
      <w:r w:rsidRPr="00375F50">
        <w:rPr>
          <w:lang w:val="en-US"/>
        </w:rPr>
        <w:lastRenderedPageBreak/>
        <w:t>Each proxy's validity will be argued explicitly, not assumed: for every proxy the study will state what it is meant to stand for, its known sources of error (e.g., inconsistent free-text descriptions, mislabeling, or absent certification disclosure), and how the qualitative phase will be used to test whether experts consider the proxy credible. Proxy validity is treated as the main anticipated point of methodological challenge for this study.</w:t>
      </w:r>
    </w:p>
    <w:p w14:paraId="4ED23BD3" w14:textId="77777777" w:rsidR="00D0224F" w:rsidRPr="00375F50" w:rsidRDefault="00000000" w:rsidP="00375F50">
      <w:pPr>
        <w:spacing w:after="200"/>
        <w:jc w:val="both"/>
        <w:rPr>
          <w:lang w:val="en-US"/>
        </w:rPr>
      </w:pPr>
      <w:r w:rsidRPr="00375F50">
        <w:rPr>
          <w:b/>
          <w:bCs/>
          <w:lang w:val="en-US"/>
        </w:rPr>
        <w:t xml:space="preserve">Algorithms mapped to specific tasks. </w:t>
      </w:r>
    </w:p>
    <w:p w14:paraId="724DEDDC"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K-Means </w:t>
      </w:r>
      <w:r w:rsidRPr="00375F50">
        <w:rPr>
          <w:lang w:val="en-US"/>
        </w:rPr>
        <w:t>(unsupervised clustering): groups import transactions into distinct profiles based on the proxy variables above, to answer "what distinct import patterns exist?"</w:t>
      </w:r>
    </w:p>
    <w:p w14:paraId="32AAF374"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Isolation Forest </w:t>
      </w:r>
      <w:r w:rsidRPr="00375F50">
        <w:rPr>
          <w:lang w:val="en-US"/>
        </w:rPr>
        <w:t>(unsupervised anomaly detection): flags records that are statistically anomalous — e.g., inconsistent tariff-country-description combinations — to separate likely data-quality artifacts from substantive patterns before those patterns are carried into the qualitative phase.</w:t>
      </w:r>
    </w:p>
    <w:p w14:paraId="634A7D95" w14:textId="77777777" w:rsidR="00D0224F" w:rsidRPr="00375F50" w:rsidRDefault="00000000" w:rsidP="00375F50">
      <w:pPr>
        <w:pStyle w:val="Prrafodelista"/>
        <w:numPr>
          <w:ilvl w:val="0"/>
          <w:numId w:val="2"/>
        </w:numPr>
        <w:spacing w:after="120"/>
        <w:jc w:val="both"/>
        <w:rPr>
          <w:lang w:val="en-US"/>
        </w:rPr>
      </w:pPr>
      <w:proofErr w:type="spellStart"/>
      <w:r w:rsidRPr="00375F50">
        <w:rPr>
          <w:b/>
          <w:bCs/>
          <w:lang w:val="en-US"/>
        </w:rPr>
        <w:t>XGBoost</w:t>
      </w:r>
      <w:proofErr w:type="spellEnd"/>
      <w:r w:rsidRPr="00375F50">
        <w:rPr>
          <w:b/>
          <w:bCs/>
          <w:lang w:val="en-US"/>
        </w:rPr>
        <w:t xml:space="preserve"> </w:t>
      </w:r>
      <w:r w:rsidRPr="00375F50">
        <w:rPr>
          <w:lang w:val="en-US"/>
        </w:rPr>
        <w:t xml:space="preserve">(supervised classification): requires labels, so a binary label — "proxy-indicated sustainable" vs. "conventional" — will be constructed from the certification- and recycled-content proxies described above for a labeled subset of records, and used to test whether the same classification can be predicted from tariff, origin, and other structured fields alone. </w:t>
      </w:r>
      <w:proofErr w:type="spellStart"/>
      <w:r w:rsidRPr="00375F50">
        <w:rPr>
          <w:lang w:val="en-US"/>
        </w:rPr>
        <w:t>XGBoost</w:t>
      </w:r>
      <w:proofErr w:type="spellEnd"/>
      <w:r w:rsidRPr="00375F50">
        <w:rPr>
          <w:lang w:val="en-US"/>
        </w:rPr>
        <w:t xml:space="preserve"> therefore answers "which structured variables best predict the proxy label?", a different question from the clustering task.</w:t>
      </w:r>
    </w:p>
    <w:p w14:paraId="3BC0B22B"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Optional sustainability index: </w:t>
      </w:r>
      <w:r w:rsidRPr="00375F50">
        <w:rPr>
          <w:lang w:val="en-US"/>
        </w:rPr>
        <w:t>if pursued, it requires an explicit construct definition and a weighting scheme across proxies. Because a weighting scheme is a normative choice, not a purely statistical one, it will be justified by expert input (from the qualitative phase) and stress-tested with a sensitivity analysis showing how the index ranking changes under alternative weights.</w:t>
      </w:r>
    </w:p>
    <w:p w14:paraId="6A7FEAD1" w14:textId="77777777" w:rsidR="00D0224F" w:rsidRDefault="00000000" w:rsidP="00375F50">
      <w:pPr>
        <w:spacing w:after="200"/>
        <w:jc w:val="both"/>
      </w:pPr>
      <w:proofErr w:type="spellStart"/>
      <w:r>
        <w:rPr>
          <w:b/>
          <w:bCs/>
        </w:rPr>
        <w:t>Explicit</w:t>
      </w:r>
      <w:proofErr w:type="spellEnd"/>
      <w:r>
        <w:rPr>
          <w:b/>
          <w:bCs/>
        </w:rPr>
        <w:t xml:space="preserve"> </w:t>
      </w:r>
      <w:proofErr w:type="spellStart"/>
      <w:r>
        <w:rPr>
          <w:b/>
          <w:bCs/>
        </w:rPr>
        <w:t>Rejection</w:t>
      </w:r>
      <w:proofErr w:type="spellEnd"/>
      <w:r>
        <w:rPr>
          <w:b/>
          <w:bCs/>
        </w:rPr>
        <w:t xml:space="preserve"> </w:t>
      </w:r>
      <w:proofErr w:type="spellStart"/>
      <w:r>
        <w:rPr>
          <w:b/>
          <w:bCs/>
        </w:rPr>
        <w:t>of</w:t>
      </w:r>
      <w:proofErr w:type="spellEnd"/>
      <w:r>
        <w:rPr>
          <w:b/>
          <w:bCs/>
        </w:rPr>
        <w:t xml:space="preserve"> Alternatives:</w:t>
      </w:r>
    </w:p>
    <w:p w14:paraId="486053E7"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Rejection of Positivism (Pure Quantitative): </w:t>
      </w:r>
      <w:r w:rsidRPr="00375F50">
        <w:rPr>
          <w:lang w:val="en-US"/>
        </w:rPr>
        <w:t>Rejected because statistical or algorithmic analysis of customs data alone cannot explain the qualitative dynamics of the Peruvian market, SUNAT's regulatory barriers, or importers' qualitative purchasing decisions.</w:t>
      </w:r>
    </w:p>
    <w:p w14:paraId="327FA80D"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Rejection of Interpretivism (Pure Qualitative): </w:t>
      </w:r>
      <w:r w:rsidRPr="00375F50">
        <w:rPr>
          <w:lang w:val="en-US"/>
        </w:rPr>
        <w:t>Rejected because actors' qualitative perceptions alone cannot process the volume of foreign trade transactions (SUNAT/</w:t>
      </w:r>
      <w:proofErr w:type="spellStart"/>
      <w:r w:rsidRPr="00375F50">
        <w:rPr>
          <w:lang w:val="en-US"/>
        </w:rPr>
        <w:t>Veritrade</w:t>
      </w:r>
      <w:proofErr w:type="spellEnd"/>
      <w:r w:rsidRPr="00375F50">
        <w:rPr>
          <w:lang w:val="en-US"/>
        </w:rPr>
        <w:t xml:space="preserve"> records 2022–2026) or determine sector-wide representative patterns.</w:t>
      </w:r>
    </w:p>
    <w:p w14:paraId="665EBA1C"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Rejection of Design Science Research: </w:t>
      </w:r>
      <w:r w:rsidRPr="00375F50">
        <w:rPr>
          <w:lang w:val="en-US"/>
        </w:rPr>
        <w:t>Rejected because the main objective of this study is not the construction, coding, or deployment of software or a technological artifact in production, but rather the generation of empirical and interpretive knowledge on import patterns for decision-making and public policy.</w:t>
      </w:r>
    </w:p>
    <w:p w14:paraId="5B16B7A3" w14:textId="77777777" w:rsidR="00D0224F" w:rsidRPr="00375F50" w:rsidRDefault="00000000" w:rsidP="00375F50">
      <w:pPr>
        <w:spacing w:before="300" w:after="150"/>
        <w:jc w:val="both"/>
        <w:rPr>
          <w:lang w:val="en-US"/>
        </w:rPr>
      </w:pPr>
      <w:r w:rsidRPr="00375F50">
        <w:rPr>
          <w:b/>
          <w:bCs/>
          <w:sz w:val="24"/>
          <w:szCs w:val="24"/>
          <w:lang w:val="en-US"/>
        </w:rPr>
        <w:t>4. Implications of the Choice</w:t>
      </w:r>
    </w:p>
    <w:p w14:paraId="118FBE89" w14:textId="77777777" w:rsidR="00D0224F" w:rsidRPr="00375F50" w:rsidRDefault="00000000" w:rsidP="00375F50">
      <w:pPr>
        <w:spacing w:after="200"/>
        <w:jc w:val="both"/>
        <w:rPr>
          <w:lang w:val="en-US"/>
        </w:rPr>
      </w:pPr>
      <w:r w:rsidRPr="00375F50">
        <w:rPr>
          <w:b/>
          <w:bCs/>
          <w:lang w:val="en-US"/>
        </w:rPr>
        <w:t xml:space="preserve">Data: </w:t>
      </w:r>
      <w:r w:rsidRPr="00375F50">
        <w:rPr>
          <w:lang w:val="en-US"/>
        </w:rPr>
        <w:t>Secondary quantitative data from Peruvian customs declarations (2022–2026) and primary qualitative data derived from interviews with experts in the Peruvian customs and environmental fields.</w:t>
      </w:r>
    </w:p>
    <w:p w14:paraId="528D4AD6" w14:textId="77777777" w:rsidR="00D0224F" w:rsidRPr="00375F50" w:rsidRDefault="00000000" w:rsidP="00375F50">
      <w:pPr>
        <w:spacing w:after="200"/>
        <w:jc w:val="both"/>
        <w:rPr>
          <w:lang w:val="en-US"/>
        </w:rPr>
      </w:pPr>
      <w:r w:rsidRPr="00375F50">
        <w:rPr>
          <w:b/>
          <w:bCs/>
          <w:lang w:val="en-US"/>
        </w:rPr>
        <w:t xml:space="preserve">Methods: </w:t>
      </w:r>
      <w:r w:rsidRPr="00375F50">
        <w:rPr>
          <w:lang w:val="en-US"/>
        </w:rPr>
        <w:t xml:space="preserve">Quantitative analysis using clustering, anomaly detection, and classification algorithms (K-Means, Isolation Forest, </w:t>
      </w:r>
      <w:proofErr w:type="spellStart"/>
      <w:r w:rsidRPr="00375F50">
        <w:rPr>
          <w:lang w:val="en-US"/>
        </w:rPr>
        <w:t>XGBoost</w:t>
      </w:r>
      <w:proofErr w:type="spellEnd"/>
      <w:r w:rsidRPr="00375F50">
        <w:rPr>
          <w:lang w:val="en-US"/>
        </w:rPr>
        <w:t xml:space="preserve"> with SHAP for interpretability), sequentially integrated with qualitative thematic analysis to interpret the findings.</w:t>
      </w:r>
    </w:p>
    <w:p w14:paraId="117CCF02" w14:textId="77777777" w:rsidR="00D0224F" w:rsidRPr="00375F50" w:rsidRDefault="00000000" w:rsidP="00375F50">
      <w:pPr>
        <w:spacing w:after="200"/>
        <w:jc w:val="both"/>
        <w:rPr>
          <w:lang w:val="en-US"/>
        </w:rPr>
      </w:pPr>
      <w:r w:rsidRPr="00375F50">
        <w:rPr>
          <w:b/>
          <w:bCs/>
          <w:lang w:val="en-US"/>
        </w:rPr>
        <w:t xml:space="preserve">Qualitative sampling and analysis: </w:t>
      </w:r>
      <w:r w:rsidRPr="00375F50">
        <w:rPr>
          <w:lang w:val="en-US"/>
        </w:rPr>
        <w:t>Purposive (criterion-based) sampling of customs agents, environmental specialists, and importers directly involved in paper-product trade, targeting approximately 12–15 semi-structured interviews or until thematic saturation is reached. Interview transcripts will be coded using a hybrid deductive–inductive thematic analysis: deductive codes derived from the quantitative patterns and proxy categories, and inductive codes allowed to emerge from participants' own explanations. Integration will be documented through a joint display that aligns each quantitative pattern (and its confidence/anomaly status) against the corresponding qualitative explanation, points of convergence, and points of divergence.</w:t>
      </w:r>
    </w:p>
    <w:p w14:paraId="7C1E3C57" w14:textId="77777777" w:rsidR="00D0224F" w:rsidRPr="00375F50" w:rsidRDefault="00000000" w:rsidP="00375F50">
      <w:pPr>
        <w:spacing w:after="200"/>
        <w:jc w:val="both"/>
        <w:rPr>
          <w:lang w:val="en-US"/>
        </w:rPr>
      </w:pPr>
      <w:r w:rsidRPr="00375F50">
        <w:rPr>
          <w:b/>
          <w:bCs/>
          <w:lang w:val="en-US"/>
        </w:rPr>
        <w:t xml:space="preserve">Ethics: </w:t>
      </w:r>
      <w:r w:rsidRPr="00375F50">
        <w:rPr>
          <w:lang w:val="en-US"/>
        </w:rPr>
        <w:t xml:space="preserve">Participation in interviews will require informed consent, with participants informed of the study's purpose, voluntary participation, and their right to withdraw. Interview data will be anonymized and reported in aggregate or de-identified form to protect the confidentiality of commercial actors. SUNAT and </w:t>
      </w:r>
      <w:proofErr w:type="spellStart"/>
      <w:r w:rsidRPr="00375F50">
        <w:rPr>
          <w:lang w:val="en-US"/>
        </w:rPr>
        <w:t>Veritrade</w:t>
      </w:r>
      <w:proofErr w:type="spellEnd"/>
      <w:r w:rsidRPr="00375F50">
        <w:rPr>
          <w:lang w:val="en-US"/>
        </w:rPr>
        <w:t xml:space="preserve"> records will be used only </w:t>
      </w:r>
      <w:r w:rsidRPr="00375F50">
        <w:rPr>
          <w:lang w:val="en-US"/>
        </w:rPr>
        <w:lastRenderedPageBreak/>
        <w:t>in accordance with their respective terms of access; because firm-level trade records are commercially sensitive, analysis and reporting will rely on aggregated or anonymized transaction-level data rather than disclosing individual firm identities.</w:t>
      </w:r>
    </w:p>
    <w:p w14:paraId="2EFDD3C9" w14:textId="77777777" w:rsidR="00D0224F" w:rsidRPr="00375F50" w:rsidRDefault="00000000" w:rsidP="00375F50">
      <w:pPr>
        <w:spacing w:after="200"/>
        <w:jc w:val="both"/>
        <w:rPr>
          <w:lang w:val="en-US"/>
        </w:rPr>
      </w:pPr>
      <w:r w:rsidRPr="00375F50">
        <w:rPr>
          <w:b/>
          <w:bCs/>
          <w:lang w:val="en-US"/>
        </w:rPr>
        <w:t xml:space="preserve">Contribution: </w:t>
      </w:r>
      <w:r w:rsidRPr="00375F50">
        <w:rPr>
          <w:lang w:val="en-US"/>
        </w:rPr>
        <w:t>An empirical-explanatory evaluation framework that links customs variables with sustainability criteria for formulating public policy in Peru and green procurement strategies.</w:t>
      </w:r>
    </w:p>
    <w:p w14:paraId="5AB29B5D" w14:textId="77777777" w:rsidR="00D0224F" w:rsidRPr="00375F50" w:rsidRDefault="00000000" w:rsidP="00375F50">
      <w:pPr>
        <w:spacing w:after="200"/>
        <w:jc w:val="both"/>
        <w:rPr>
          <w:lang w:val="en-US"/>
        </w:rPr>
      </w:pPr>
      <w:r w:rsidRPr="00375F50">
        <w:rPr>
          <w:b/>
          <w:bCs/>
          <w:lang w:val="en-US"/>
        </w:rPr>
        <w:t xml:space="preserve">Target Venues: </w:t>
      </w:r>
      <w:r w:rsidRPr="00375F50">
        <w:rPr>
          <w:lang w:val="en-US"/>
        </w:rPr>
        <w:t xml:space="preserve">Journals oriented toward applied and interdisciplinary research such as </w:t>
      </w:r>
      <w:r w:rsidRPr="00375F50">
        <w:rPr>
          <w:i/>
          <w:iCs/>
          <w:lang w:val="en-US"/>
        </w:rPr>
        <w:t>Sustainability</w:t>
      </w:r>
      <w:r w:rsidRPr="00375F50">
        <w:rPr>
          <w:lang w:val="en-US"/>
        </w:rPr>
        <w:t xml:space="preserve"> (MDPI), </w:t>
      </w:r>
      <w:r w:rsidRPr="00375F50">
        <w:rPr>
          <w:i/>
          <w:iCs/>
          <w:lang w:val="en-US"/>
        </w:rPr>
        <w:t>Journal of Cleaner Production</w:t>
      </w:r>
      <w:r w:rsidRPr="00375F50">
        <w:rPr>
          <w:lang w:val="en-US"/>
        </w:rPr>
        <w:t xml:space="preserve"> (Elsevier), and </w:t>
      </w:r>
      <w:r w:rsidRPr="00375F50">
        <w:rPr>
          <w:i/>
          <w:iCs/>
          <w:lang w:val="en-US"/>
        </w:rPr>
        <w:t>Environmental Science and Policy</w:t>
      </w:r>
      <w:r w:rsidRPr="00375F50">
        <w:rPr>
          <w:lang w:val="en-US"/>
        </w:rPr>
        <w:t xml:space="preserve"> (Elsevier), as well as venues focused on </w:t>
      </w:r>
      <w:r w:rsidRPr="00375F50">
        <w:rPr>
          <w:i/>
          <w:iCs/>
          <w:lang w:val="en-US"/>
        </w:rPr>
        <w:t>Sustainable Production and Consumption</w:t>
      </w:r>
      <w:r w:rsidRPr="00375F50">
        <w:rPr>
          <w:lang w:val="en-US"/>
        </w:rPr>
        <w:t xml:space="preserve"> and conferences on technology adoption and public management.</w:t>
      </w:r>
    </w:p>
    <w:p w14:paraId="10FF145B" w14:textId="4276F4E0" w:rsidR="00D0224F" w:rsidRPr="00375F50" w:rsidRDefault="00000000" w:rsidP="00375F50">
      <w:pPr>
        <w:spacing w:before="300" w:after="150"/>
        <w:jc w:val="both"/>
        <w:rPr>
          <w:lang w:val="en-US"/>
        </w:rPr>
      </w:pPr>
      <w:r w:rsidRPr="00375F50">
        <w:rPr>
          <w:b/>
          <w:bCs/>
          <w:sz w:val="24"/>
          <w:szCs w:val="24"/>
          <w:lang w:val="en-US"/>
        </w:rPr>
        <w:t xml:space="preserve">5. Intellectual Honesty (Doubt or Methodological Tension) </w:t>
      </w:r>
    </w:p>
    <w:p w14:paraId="24BCAB2C" w14:textId="77777777" w:rsidR="00D0224F" w:rsidRPr="00375F50" w:rsidRDefault="00000000" w:rsidP="00375F50">
      <w:pPr>
        <w:spacing w:after="200"/>
        <w:jc w:val="both"/>
        <w:rPr>
          <w:lang w:val="en-US"/>
        </w:rPr>
      </w:pPr>
      <w:r w:rsidRPr="00375F50">
        <w:rPr>
          <w:lang w:val="en-US"/>
        </w:rPr>
        <w:t>There is a methodological tension regarding the risk of "confirmation bias" during the qualitative phase (QUAL), where customs experts' interpretations might construct plausible explanations for quantitative patterns (QUANT) that could actually correspond to anomalies or record inconsistencies in SUNAT's customs declarations. Rather than leaving this as an open doubt, it is built into the design in three ways:</w:t>
      </w:r>
    </w:p>
    <w:p w14:paraId="74FF6EBA"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Anomaly filtering before interviews: </w:t>
      </w:r>
      <w:r w:rsidRPr="00375F50">
        <w:rPr>
          <w:lang w:val="en-US"/>
        </w:rPr>
        <w:t>Isolation Forest is run first, specifically to separate likely data-quality artifacts from substantive patterns; only patterns that survive this filter are carried into the qualitative phase.</w:t>
      </w:r>
    </w:p>
    <w:p w14:paraId="0647DB2C"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Neutral presentation: </w:t>
      </w:r>
      <w:r w:rsidRPr="00375F50">
        <w:rPr>
          <w:lang w:val="en-US"/>
        </w:rPr>
        <w:t>patterns will be presented to interviewees in neutral, descriptive terms, without disclosing which algorithm produced them or any suggested interpretation.</w:t>
      </w:r>
    </w:p>
    <w:p w14:paraId="0DAFD55E" w14:textId="77777777" w:rsidR="00D0224F" w:rsidRPr="00375F50" w:rsidRDefault="00000000" w:rsidP="00375F50">
      <w:pPr>
        <w:pStyle w:val="Prrafodelista"/>
        <w:numPr>
          <w:ilvl w:val="0"/>
          <w:numId w:val="2"/>
        </w:numPr>
        <w:spacing w:after="120"/>
        <w:jc w:val="both"/>
        <w:rPr>
          <w:lang w:val="en-US"/>
        </w:rPr>
      </w:pPr>
      <w:r w:rsidRPr="00375F50">
        <w:rPr>
          <w:b/>
          <w:bCs/>
          <w:lang w:val="en-US"/>
        </w:rPr>
        <w:t xml:space="preserve">Disconfirmation-seeking and interview sequencing: </w:t>
      </w:r>
      <w:r w:rsidRPr="00375F50">
        <w:rPr>
          <w:lang w:val="en-US"/>
        </w:rPr>
        <w:t>the interview protocol will actively probe for disconfirming cases and alternative explanations, and at least some expert interviews will be conducted before informants are shown any quantitative model output, to reduce the risk of experts anchoring their explanations to the model's results.</w:t>
      </w:r>
    </w:p>
    <w:sectPr w:rsidR="00D0224F" w:rsidRPr="00375F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66B3A"/>
    <w:multiLevelType w:val="hybridMultilevel"/>
    <w:tmpl w:val="99302B06"/>
    <w:lvl w:ilvl="0" w:tplc="090A096E">
      <w:start w:val="1"/>
      <w:numFmt w:val="bullet"/>
      <w:lvlText w:val="●"/>
      <w:lvlJc w:val="left"/>
      <w:pPr>
        <w:ind w:left="720" w:hanging="360"/>
      </w:pPr>
    </w:lvl>
    <w:lvl w:ilvl="1" w:tplc="FCE0D0E4">
      <w:start w:val="1"/>
      <w:numFmt w:val="bullet"/>
      <w:lvlText w:val="○"/>
      <w:lvlJc w:val="left"/>
      <w:pPr>
        <w:ind w:left="1440" w:hanging="360"/>
      </w:pPr>
    </w:lvl>
    <w:lvl w:ilvl="2" w:tplc="3FA4F4C2">
      <w:start w:val="1"/>
      <w:numFmt w:val="bullet"/>
      <w:lvlText w:val="■"/>
      <w:lvlJc w:val="left"/>
      <w:pPr>
        <w:ind w:left="2160" w:hanging="360"/>
      </w:pPr>
    </w:lvl>
    <w:lvl w:ilvl="3" w:tplc="66727D14">
      <w:start w:val="1"/>
      <w:numFmt w:val="bullet"/>
      <w:lvlText w:val="●"/>
      <w:lvlJc w:val="left"/>
      <w:pPr>
        <w:ind w:left="2880" w:hanging="360"/>
      </w:pPr>
    </w:lvl>
    <w:lvl w:ilvl="4" w:tplc="D8D4FE80">
      <w:start w:val="1"/>
      <w:numFmt w:val="bullet"/>
      <w:lvlText w:val="○"/>
      <w:lvlJc w:val="left"/>
      <w:pPr>
        <w:ind w:left="3600" w:hanging="360"/>
      </w:pPr>
    </w:lvl>
    <w:lvl w:ilvl="5" w:tplc="2F44D1BE">
      <w:start w:val="1"/>
      <w:numFmt w:val="bullet"/>
      <w:lvlText w:val="■"/>
      <w:lvlJc w:val="left"/>
      <w:pPr>
        <w:ind w:left="4320" w:hanging="360"/>
      </w:pPr>
    </w:lvl>
    <w:lvl w:ilvl="6" w:tplc="E97CC22C">
      <w:start w:val="1"/>
      <w:numFmt w:val="bullet"/>
      <w:lvlText w:val="●"/>
      <w:lvlJc w:val="left"/>
      <w:pPr>
        <w:ind w:left="5040" w:hanging="360"/>
      </w:pPr>
    </w:lvl>
    <w:lvl w:ilvl="7" w:tplc="C1D4837C">
      <w:start w:val="1"/>
      <w:numFmt w:val="bullet"/>
      <w:lvlText w:val="●"/>
      <w:lvlJc w:val="left"/>
      <w:pPr>
        <w:ind w:left="5760" w:hanging="360"/>
      </w:pPr>
    </w:lvl>
    <w:lvl w:ilvl="8" w:tplc="C3005666">
      <w:start w:val="1"/>
      <w:numFmt w:val="bullet"/>
      <w:lvlText w:val="●"/>
      <w:lvlJc w:val="left"/>
      <w:pPr>
        <w:ind w:left="6480" w:hanging="360"/>
      </w:pPr>
    </w:lvl>
  </w:abstractNum>
  <w:abstractNum w:abstractNumId="1" w15:restartNumberingAfterBreak="0">
    <w:nsid w:val="760F70C2"/>
    <w:multiLevelType w:val="hybridMultilevel"/>
    <w:tmpl w:val="2B0E0F82"/>
    <w:lvl w:ilvl="0" w:tplc="70A27BAE">
      <w:start w:val="1"/>
      <w:numFmt w:val="bullet"/>
      <w:lvlText w:val="•"/>
      <w:lvlJc w:val="left"/>
      <w:pPr>
        <w:ind w:left="504" w:hanging="259"/>
      </w:pPr>
    </w:lvl>
    <w:lvl w:ilvl="1" w:tplc="521C7E10">
      <w:numFmt w:val="decimal"/>
      <w:lvlText w:val=""/>
      <w:lvlJc w:val="left"/>
    </w:lvl>
    <w:lvl w:ilvl="2" w:tplc="BD68F54E">
      <w:numFmt w:val="decimal"/>
      <w:lvlText w:val=""/>
      <w:lvlJc w:val="left"/>
    </w:lvl>
    <w:lvl w:ilvl="3" w:tplc="44DCFCE2">
      <w:numFmt w:val="decimal"/>
      <w:lvlText w:val=""/>
      <w:lvlJc w:val="left"/>
    </w:lvl>
    <w:lvl w:ilvl="4" w:tplc="346207A8">
      <w:numFmt w:val="decimal"/>
      <w:lvlText w:val=""/>
      <w:lvlJc w:val="left"/>
    </w:lvl>
    <w:lvl w:ilvl="5" w:tplc="0C2C6704">
      <w:numFmt w:val="decimal"/>
      <w:lvlText w:val=""/>
      <w:lvlJc w:val="left"/>
    </w:lvl>
    <w:lvl w:ilvl="6" w:tplc="5A68AC96">
      <w:numFmt w:val="decimal"/>
      <w:lvlText w:val=""/>
      <w:lvlJc w:val="left"/>
    </w:lvl>
    <w:lvl w:ilvl="7" w:tplc="7D78FDEC">
      <w:numFmt w:val="decimal"/>
      <w:lvlText w:val=""/>
      <w:lvlJc w:val="left"/>
    </w:lvl>
    <w:lvl w:ilvl="8" w:tplc="C9B6E268">
      <w:numFmt w:val="decimal"/>
      <w:lvlText w:val=""/>
      <w:lvlJc w:val="left"/>
    </w:lvl>
  </w:abstractNum>
  <w:num w:numId="1" w16cid:durableId="627200372">
    <w:abstractNumId w:val="0"/>
    <w:lvlOverride w:ilvl="0">
      <w:startOverride w:val="1"/>
    </w:lvlOverride>
  </w:num>
  <w:num w:numId="2" w16cid:durableId="20995184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24F"/>
    <w:rsid w:val="00375F50"/>
    <w:rsid w:val="005B2B2E"/>
    <w:rsid w:val="006A5599"/>
    <w:rsid w:val="006D2543"/>
    <w:rsid w:val="00D0224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3344"/>
  <w15:docId w15:val="{1A1C84D2-AEF7-44A9-BD1C-6DD20820A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1372</Words>
  <Characters>8411</Characters>
  <Application>Microsoft Office Word</Application>
  <DocSecurity>0</DocSecurity>
  <Lines>109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Angela</dc:creator>
  <cp:lastModifiedBy>Angela Acosta Ticona</cp:lastModifiedBy>
  <cp:revision>3</cp:revision>
  <dcterms:created xsi:type="dcterms:W3CDTF">2026-09-17T03:27:00Z</dcterms:created>
  <dcterms:modified xsi:type="dcterms:W3CDTF">2026-09-17T03:28:00Z</dcterms:modified>
</cp:coreProperties>
</file>