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57A9" w14:textId="77777777" w:rsidR="005A3806" w:rsidRPr="00F24E1E" w:rsidRDefault="00000000">
      <w:pPr>
        <w:spacing w:after="30"/>
        <w:rPr>
          <w:lang w:val="en-US"/>
        </w:rPr>
      </w:pPr>
      <w:r>
        <w:rPr>
          <w:b/>
          <w:sz w:val="22"/>
          <w:szCs w:val="22"/>
          <w:u w:val="single"/>
          <w:lang w:val="en-US"/>
        </w:rPr>
        <w:t>Deliverable No. 2 — Method-Fit Matrix (Revised after midterm feedback)</w:t>
      </w:r>
    </w:p>
    <w:p w14:paraId="70D8EEAB" w14:textId="0CCFC783" w:rsidR="005A3806" w:rsidRPr="00F24E1E" w:rsidRDefault="00000000">
      <w:pPr>
        <w:spacing w:after="20"/>
        <w:rPr>
          <w:lang w:val="en-US"/>
        </w:rPr>
      </w:pPr>
      <w:r>
        <w:rPr>
          <w:b/>
          <w:sz w:val="15"/>
          <w:szCs w:val="15"/>
          <w:lang w:val="en-US"/>
        </w:rPr>
        <w:t xml:space="preserve">Student: </w:t>
      </w:r>
      <w:r>
        <w:rPr>
          <w:sz w:val="15"/>
          <w:szCs w:val="15"/>
          <w:lang w:val="en-US"/>
        </w:rPr>
        <w:t xml:space="preserve">Angela Milén Acosta Ticona   </w:t>
      </w:r>
      <w:r>
        <w:rPr>
          <w:sz w:val="15"/>
          <w:szCs w:val="15"/>
          <w:lang w:val="en-US"/>
        </w:rPr>
        <w:br/>
      </w:r>
      <w:r>
        <w:rPr>
          <w:b/>
          <w:sz w:val="15"/>
          <w:szCs w:val="15"/>
          <w:lang w:val="en-US"/>
        </w:rPr>
        <w:t xml:space="preserve">Course: </w:t>
      </w:r>
      <w:r>
        <w:rPr>
          <w:sz w:val="15"/>
          <w:szCs w:val="15"/>
          <w:lang w:val="en-US"/>
        </w:rPr>
        <w:t xml:space="preserve">Research Methodology — UNMSM   </w:t>
      </w:r>
      <w:r>
        <w:rPr>
          <w:sz w:val="15"/>
          <w:szCs w:val="15"/>
          <w:lang w:val="en-US"/>
        </w:rPr>
        <w:br/>
      </w:r>
      <w:r>
        <w:rPr>
          <w:b/>
          <w:sz w:val="15"/>
          <w:szCs w:val="15"/>
          <w:lang w:val="en-US"/>
        </w:rPr>
        <w:t xml:space="preserve">Based on: </w:t>
      </w:r>
      <w:r>
        <w:rPr>
          <w:sz w:val="15"/>
          <w:szCs w:val="15"/>
          <w:lang w:val="en-US"/>
        </w:rPr>
        <w:t>Deliverable No. 1 (Revised after midterm feedback)</w:t>
      </w:r>
    </w:p>
    <w:p w14:paraId="4D491520" w14:textId="77777777" w:rsidR="005A3806" w:rsidRPr="00F24E1E" w:rsidRDefault="00000000">
      <w:pPr>
        <w:spacing w:after="60"/>
        <w:rPr>
          <w:lang w:val="en-US"/>
        </w:rPr>
      </w:pPr>
      <w:r>
        <w:rPr>
          <w:b/>
          <w:sz w:val="15"/>
          <w:szCs w:val="15"/>
          <w:lang w:val="en-US"/>
        </w:rPr>
        <w:t xml:space="preserve">Research question: </w:t>
      </w:r>
      <w:r>
        <w:rPr>
          <w:i/>
          <w:sz w:val="15"/>
          <w:szCs w:val="15"/>
          <w:lang w:val="en-US"/>
        </w:rPr>
        <w:t>Which sustainable import patterns characterize Peru's imports of tissue parent rolls for local conversion between 2020 and 2025, and which customs variables predict proxy-indicated sustainable imports?</w:t>
      </w:r>
    </w:p>
    <w:p w14:paraId="4D491520" w14:textId="77777777" w:rsidR="005A3806" w:rsidRPr="00F24E1E" w:rsidRDefault="00000000">
      <w:pPr>
        <w:spacing w:after="60"/>
        <w:rPr>
          <w:lang w:val="en-US"/>
        </w:rPr>
      </w:pPr>
      <w:r>
        <w:rPr>
          <w:b/>
          <w:sz w:val="15"/>
          <w:szCs w:val="15"/>
          <w:lang w:val="en-US"/>
        </w:rPr>
        <w:t xml:space="preserve">Revision note: </w:t>
      </w:r>
      <w:r>
        <w:rPr>
          <w:sz w:val="15"/>
          <w:szCs w:val="15"/>
          <w:lang w:val="en-US"/>
        </w:rPr>
        <w:t>after the midterm feedback, the research question was narrowed to what can be measured in the real Veritrade import records (January 2020 – December 2025). All scores below were recalculated for this revised question.</w:t>
      </w:r>
    </w:p>
    <w:tbl>
      <w:tblPr>
        <w:tblW w:w="14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1308"/>
        <w:gridCol w:w="1308"/>
        <w:gridCol w:w="1308"/>
        <w:gridCol w:w="1308"/>
        <w:gridCol w:w="1308"/>
        <w:gridCol w:w="3396"/>
        <w:gridCol w:w="2094"/>
      </w:tblGrid>
      <w:tr w:rsidR="005A3806" w:rsidRPr="00F24E1E" w14:paraId="5CD2B169" w14:textId="77777777" w:rsidTr="00F24E1E">
        <w:tblPrEx>
          <w:tblCellMar>
            <w:top w:w="0" w:type="dxa"/>
            <w:bottom w:w="0" w:type="dxa"/>
          </w:tblCellMar>
        </w:tblPrEx>
        <w:trPr>
          <w:trHeight w:val="588"/>
          <w:tblHeader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C41F9" w14:textId="77777777" w:rsidR="005A38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Paradigm</w:t>
            </w:r>
            <w:proofErr w:type="spellEnd"/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B9CA9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 (30%)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5E9DD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(20%)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9C7C1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 (15%)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13CB6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(20%)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2E6DC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 (15%)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F7077" w14:textId="77777777" w:rsidR="005A3806" w:rsidRPr="00F24E1E" w:rsidRDefault="00000000">
            <w:pPr>
              <w:jc w:val="center"/>
              <w:rPr>
                <w:lang w:val="en-US"/>
              </w:rPr>
            </w:pPr>
            <w:r w:rsidRPr="00F24E1E">
              <w:rPr>
                <w:b/>
                <w:bCs/>
                <w:color w:val="FFFFFF"/>
                <w:sz w:val="16"/>
                <w:szCs w:val="16"/>
                <w:lang w:val="en-US"/>
              </w:rPr>
              <w:t>Weighted total (E×.30+D×.20+F×.15+C×.20+V×.15)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A90D3" w14:textId="77777777" w:rsidR="005A3806" w:rsidRPr="00F24E1E" w:rsidRDefault="00000000">
            <w:pPr>
              <w:jc w:val="center"/>
              <w:rPr>
                <w:lang w:val="en-US"/>
              </w:rPr>
            </w:pPr>
            <w:r w:rsidRPr="00F24E1E">
              <w:rPr>
                <w:b/>
                <w:bCs/>
                <w:color w:val="FFFFFF"/>
                <w:sz w:val="16"/>
                <w:szCs w:val="16"/>
                <w:lang w:val="en-US"/>
              </w:rPr>
              <w:t>Verdict (GATE: &lt;2 on a critical criterion eliminates)</w:t>
            </w:r>
          </w:p>
        </w:tc>
      </w:tr>
      <w:tr w:rsidR="005A3806" w14:paraId="021415E6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D0348" w14:textId="77777777" w:rsidR="005A3806" w:rsidRDefault="00000000">
            <w:r>
              <w:rPr>
                <w:b/>
                <w:sz w:val="16"/>
                <w:szCs w:val="16"/>
              </w:rPr>
              <w:t>Positivist (quantitative)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3977B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7179D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191E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79A79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DE3F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FEDB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4.65 / 5  →  93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FAE72" w14:textId="77777777" w:rsidR="005A3806" w:rsidRDefault="00000000">
            <w:pPr>
              <w:jc w:val="center"/>
            </w:pPr>
            <w:r>
              <w:rPr>
                <w:b/>
                <w:color w:val="0F5132"/>
                <w:sz w:val="16"/>
                <w:szCs w:val="16"/>
              </w:rPr>
              <w:t>SURVIVES · WINNER</w:t>
            </w:r>
          </w:p>
        </w:tc>
      </w:tr>
      <w:tr w:rsidR="005A3806" w14:paraId="4CEECBCE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8BACC" w14:textId="77777777" w:rsidR="005A3806" w:rsidRDefault="00000000">
            <w:r>
              <w:rPr>
                <w:sz w:val="16"/>
                <w:szCs w:val="16"/>
              </w:rPr>
              <w:t>Interpretivist (qualitative)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2FE54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39B4E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9E16C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996CC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CA2E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B2EC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2.20 / 5  →  44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EBA52" w14:textId="77777777" w:rsidR="005A3806" w:rsidRDefault="00000000">
            <w:pPr>
              <w:jc w:val="center"/>
            </w:pPr>
            <w:r>
              <w:rPr>
                <w:color w:val="842029"/>
                <w:sz w:val="16"/>
                <w:szCs w:val="16"/>
              </w:rPr>
              <w:t>ELIMINATED</w:t>
            </w:r>
          </w:p>
        </w:tc>
      </w:tr>
      <w:tr w:rsidR="005A3806" w14:paraId="374E0F60" w14:textId="77777777" w:rsidTr="00F24E1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D8CE2" w14:textId="1A25B56C" w:rsidR="005A3806" w:rsidRPr="00F24E1E" w:rsidRDefault="00000000">
            <w:pPr>
              <w:rPr/>
            </w:pPr>
            <w:r>
              <w:rPr>
                <w:sz w:val="16"/>
                <w:szCs w:val="16"/>
              </w:rPr>
              <w:t>Mixed Methods (Explanatory Sequential)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C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274EC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C4BC3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37100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2DBD2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80ACB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C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2B8D5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3.35 / 5  →  67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3C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987DD" w14:textId="77777777" w:rsidR="005A3806" w:rsidRDefault="00000000">
            <w:pPr>
              <w:jc w:val="center"/>
            </w:pPr>
            <w:r>
              <w:rPr>
                <w:color w:val="664D03"/>
                <w:sz w:val="16"/>
                <w:szCs w:val="16"/>
              </w:rPr>
              <w:t>SURVIVES GATE · NOT CHOSEN</w:t>
            </w:r>
          </w:p>
        </w:tc>
      </w:tr>
      <w:tr w:rsidR="005A3806" w14:paraId="4304942E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0AF30" w14:textId="77777777" w:rsidR="005A3806" w:rsidRDefault="00000000">
            <w:r>
              <w:rPr>
                <w:sz w:val="16"/>
                <w:szCs w:val="16"/>
              </w:rPr>
              <w:t>Design Science (artifact construction)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DB20F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4B954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670C2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08085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F4814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D1856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2.25 / 5  →  45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B5264" w14:textId="77777777" w:rsidR="005A3806" w:rsidRDefault="00000000">
            <w:pPr>
              <w:jc w:val="center"/>
            </w:pPr>
            <w:r>
              <w:rPr>
                <w:color w:val="842029"/>
                <w:sz w:val="16"/>
                <w:szCs w:val="16"/>
              </w:rPr>
              <w:t>ELIMINATED</w:t>
            </w:r>
          </w:p>
        </w:tc>
      </w:tr>
    </w:tbl>
    <w:p w14:paraId="21B577FD" w14:textId="05493B81" w:rsidR="005A3806" w:rsidRPr="00F24E1E" w:rsidRDefault="00F24E1E" w:rsidP="00F24E1E">
      <w:pPr>
        <w:spacing w:before="60" w:after="30"/>
        <w:jc w:val="center"/>
        <w:rPr>
          <w:u w:val="single"/>
          <w:lang w:val="en-US"/>
        </w:rPr>
      </w:pPr>
      <w:r>
        <w:rPr>
          <w:b/>
          <w:bCs/>
          <w:sz w:val="16"/>
          <w:szCs w:val="16"/>
          <w:u w:val="single"/>
          <w:lang w:val="en-US"/>
        </w:rPr>
        <w:br/>
      </w:r>
      <w:r w:rsidR="00000000" w:rsidRPr="00F24E1E">
        <w:rPr>
          <w:b/>
          <w:bCs/>
          <w:sz w:val="16"/>
          <w:szCs w:val="16"/>
          <w:u w:val="single"/>
          <w:lang w:val="en-US"/>
        </w:rPr>
        <w:t>Justification of scores by paradigm:</w:t>
      </w:r>
    </w:p>
    <w:p w14:paraId="49C8DF21" w14:textId="3684E749" w:rsidR="005A3806" w:rsidRPr="00F24E1E" w:rsidRDefault="00000000">
      <w:pPr>
        <w:spacing w:after="15"/>
        <w:rPr>
          <w:lang w:val="en-US"/>
        </w:rPr>
      </w:pPr>
      <w:r>
        <w:rPr>
          <w:b/>
          <w:sz w:val="15"/>
          <w:szCs w:val="15"/>
          <w:lang w:val="en-US"/>
        </w:rPr>
        <w:t xml:space="preserve">Positivist (chosen):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E=5: the revised question asks only what can be measured (patterns, predictors and change over time), which is exactly what a positivist design answers with hypothesis tests.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D=5: real Veritrade import records for January 2020 – December 2025 are already in hand.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F=5: there is no fieldwork; the analysis runs in a reproducible Python notebook within the doctoral timeline.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C=4: it gives measurable evidence for policy (profiles, predictors, trends), but it does not explain why actors behave as they do.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>V=4: Sustainability and the Journal of Cleaner Production publish quantitative trade and machine learning studies.</w:t>
      </w:r>
    </w:p>
    <w:p w14:paraId="6D5F10E2" w14:textId="75541A61" w:rsidR="00F24E1E" w:rsidRDefault="00000000">
      <w:pPr>
        <w:spacing w:after="15"/>
        <w:rPr>
          <w:sz w:val="15"/>
          <w:szCs w:val="15"/>
          <w:lang w:val="en-US"/>
        </w:rPr>
      </w:pPr>
      <w:r>
        <w:rPr>
          <w:b/>
          <w:sz w:val="15"/>
          <w:szCs w:val="15"/>
          <w:lang w:val="en-US"/>
        </w:rPr>
        <w:t xml:space="preserve">Interpretivist: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E=1: it cannot process thousands of transactions or test hypotheses about sector-wide patterns.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D=2: no qualitative data have been collected, and access to experts is uncertain.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F=3: it requires prolonged immersion.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C=3: it gives contextual depth, but no sector-wide evidence.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>V=3: it is less aligned with the target journals, which look for quantifiable evidence.</w:t>
      </w:r>
    </w:p>
    <w:p w14:paraId="31E5C3C4" w14:textId="23A9B2AA" w:rsidR="005A3806" w:rsidRPr="00F24E1E" w:rsidRDefault="00000000">
      <w:pPr>
        <w:spacing w:after="15"/>
        <w:rPr>
          <w:lang w:val="en-US"/>
        </w:rPr>
      </w:pPr>
      <w:r>
        <w:rPr>
          <w:b/>
          <w:sz w:val="15"/>
          <w:szCs w:val="15"/>
          <w:lang w:val="en-US"/>
        </w:rPr>
        <w:t xml:space="preserve">Mixed Methods: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E=3: it could answer the measurable part, but its qualitative strand answers a question this study no longer asks.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D=2: the quantitative data exist, but access to 12–15 interviewees is uncertain.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F=2: interviews, transcription and integration add many months and risk to the timeline.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C=5: it would add the actors' explanation of the patterns.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>V=5: it is well accepted in the target journals.</w:t>
      </w:r>
    </w:p>
    <w:p w14:paraId="5693FFC8" w14:textId="10BB1987" w:rsidR="005A3806" w:rsidRPr="00F24E1E" w:rsidRDefault="00000000">
      <w:pPr>
        <w:spacing w:after="15"/>
        <w:rPr>
          <w:lang w:val="en-US"/>
        </w:rPr>
      </w:pPr>
      <w:r>
        <w:rPr>
          <w:b/>
          <w:sz w:val="15"/>
          <w:szCs w:val="15"/>
          <w:lang w:val="en-US"/>
        </w:rPr>
        <w:t xml:space="preserve">Design Science: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E=1: the objective is not to build an artifact (software, framework or tool) but to produce empirical knowledge about import patterns.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D=4: the same data could be reused to build a tool or index.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F=3: building and validating an artifact adds engineering time.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 xml:space="preserve">C=2: an artifact is not the type of knowledge the research question seeks. </w:t>
      </w:r>
      <w:r>
        <w:rPr>
          <w:sz w:val="15"/>
          <w:szCs w:val="15"/>
          <w:lang w:val="en-US"/>
        </w:rPr>
        <w:br/>
      </w:r>
      <w:r>
        <w:rPr>
          <w:sz w:val="15"/>
          <w:szCs w:val="15"/>
          <w:lang w:val="en-US"/>
        </w:rPr>
        <w:t>V=2: Design Science venues (e.g., MIS Quarterly, ICIS) do not match the target sustainability journals.</w:t>
      </w:r>
    </w:p>
    <w:p w14:paraId="06C883BC" w14:textId="77777777" w:rsidR="005A3806" w:rsidRPr="00F24E1E" w:rsidRDefault="00000000">
      <w:pPr>
        <w:spacing w:before="50" w:after="15"/>
        <w:rPr>
          <w:u w:val="single"/>
          <w:lang w:val="en-US"/>
        </w:rPr>
      </w:pPr>
      <w:r w:rsidRPr="00F24E1E">
        <w:rPr>
          <w:b/>
          <w:bCs/>
          <w:sz w:val="16"/>
          <w:szCs w:val="16"/>
          <w:u w:val="single"/>
          <w:lang w:val="en-US"/>
        </w:rPr>
        <w:t>Defense of the assigned weights:</w:t>
      </w:r>
    </w:p>
    <w:p w14:paraId="5572823C" w14:textId="74CF029E" w:rsidR="005A3806" w:rsidRPr="00F24E1E" w:rsidRDefault="00F24E1E">
      <w:pPr>
        <w:spacing w:after="10"/>
        <w:rPr>
          <w:lang w:val="en-US"/>
        </w:rPr>
      </w:pPr>
      <w:r>
        <w:rPr>
          <w:b/>
          <w:bCs/>
          <w:sz w:val="15"/>
          <w:szCs w:val="15"/>
          <w:lang w:val="en-US"/>
        </w:rPr>
        <w:br/>
      </w:r>
      <w:r w:rsidR="00000000" w:rsidRPr="00F24E1E">
        <w:rPr>
          <w:b/>
          <w:bCs/>
          <w:sz w:val="15"/>
          <w:szCs w:val="15"/>
          <w:lang w:val="en-US"/>
        </w:rPr>
        <w:t xml:space="preserve">Highest weight — E (30%): </w:t>
      </w:r>
      <w:r w:rsidR="00000000" w:rsidRPr="00F24E1E">
        <w:rPr>
          <w:sz w:val="15"/>
          <w:szCs w:val="15"/>
          <w:lang w:val="en-US"/>
        </w:rPr>
        <w:t>epistemological fit is weighted highest because it functions as a constraint (gate) rather than a preference: no high score on the other four criteria can offset an incoherence between the paradigm and the nature of the research question.</w:t>
      </w:r>
    </w:p>
    <w:p w14:paraId="7FE36CC8" w14:textId="77777777" w:rsidR="00F24E1E" w:rsidRDefault="00000000" w:rsidP="00F24E1E">
      <w:pPr>
        <w:spacing w:after="40"/>
        <w:rPr>
          <w:lang w:val="en-US"/>
        </w:rPr>
      </w:pPr>
      <w:r>
        <w:rPr>
          <w:b/>
          <w:sz w:val="15"/>
          <w:szCs w:val="15"/>
          <w:lang w:val="en-US"/>
        </w:rPr>
        <w:t xml:space="preserve">Lowest weight — V (15%): </w:t>
      </w:r>
      <w:r>
        <w:rPr>
          <w:sz w:val="15"/>
          <w:szCs w:val="15"/>
          <w:lang w:val="en-US"/>
        </w:rPr>
        <w:t>venue fit is weighted lowest because, unlike epistemological fit, it can be adapted: several journals (Sustainability, Journal of Cleaner Production, Environmental Science and Policy) publish both quantitative and mixed-methods work, so this criterion discriminates less among the options.</w:t>
      </w:r>
    </w:p>
    <w:p w14:paraId="5233459B" w14:textId="54093281" w:rsidR="005A3806" w:rsidRPr="00F24E1E" w:rsidRDefault="00F24E1E" w:rsidP="00F24E1E">
      <w:pPr>
        <w:spacing w:after="40"/>
        <w:jc w:val="both"/>
        <w:rPr>
          <w:lang w:val="en-US"/>
        </w:rPr>
      </w:pPr>
      <w:r>
        <w:rPr>
          <w:sz w:val="15"/>
          <w:szCs w:val="15"/>
          <w:lang w:val="en-US"/>
        </w:rPr>
        <w:br/>
      </w:r>
      <w:r>
        <w:rPr>
          <w:b/>
          <w:sz w:val="15"/>
          <w:szCs w:val="15"/>
          <w:lang w:val="en-US"/>
        </w:rPr>
        <w:t xml:space="preserve">Exit commitment: </w:t>
      </w:r>
      <w:r>
        <w:rPr>
          <w:sz w:val="15"/>
          <w:szCs w:val="15"/>
          <w:lang w:val="en-US"/>
        </w:rPr>
        <w:t>“I will use the Positivist paradigm, with a quantitative and retrospective design on real Veritrade import records, because it obtains the highest weighted score (93/100) and directly answers my revised question. I reject Interpretivism and Design Science because they score E=1, and Mixed Methods because its interview strand is not needed for the revised question and is less feasible (67/100).”</w:t>
      </w:r>
    </w:p>
    <w:sectPr w:rsidR="005A3806" w:rsidRPr="00F24E1E">
      <w:pgSz w:w="15840" w:h="12240"/>
      <w:pgMar w:top="400" w:right="500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5BE8"/>
    <w:multiLevelType w:val="hybridMultilevel"/>
    <w:tmpl w:val="4EE2C470"/>
    <w:lvl w:ilvl="0" w:tplc="9EAEF768">
      <w:start w:val="1"/>
      <w:numFmt w:val="bullet"/>
      <w:lvlText w:val="●"/>
      <w:lvlJc w:val="left"/>
      <w:pPr>
        <w:ind w:left="720" w:hanging="360"/>
      </w:pPr>
    </w:lvl>
    <w:lvl w:ilvl="1" w:tplc="0338B7A8">
      <w:start w:val="1"/>
      <w:numFmt w:val="bullet"/>
      <w:lvlText w:val="○"/>
      <w:lvlJc w:val="left"/>
      <w:pPr>
        <w:ind w:left="1440" w:hanging="360"/>
      </w:pPr>
    </w:lvl>
    <w:lvl w:ilvl="2" w:tplc="5B60FE98">
      <w:start w:val="1"/>
      <w:numFmt w:val="bullet"/>
      <w:lvlText w:val="■"/>
      <w:lvlJc w:val="left"/>
      <w:pPr>
        <w:ind w:left="2160" w:hanging="360"/>
      </w:pPr>
    </w:lvl>
    <w:lvl w:ilvl="3" w:tplc="AEF6A602">
      <w:start w:val="1"/>
      <w:numFmt w:val="bullet"/>
      <w:lvlText w:val="●"/>
      <w:lvlJc w:val="left"/>
      <w:pPr>
        <w:ind w:left="2880" w:hanging="360"/>
      </w:pPr>
    </w:lvl>
    <w:lvl w:ilvl="4" w:tplc="1EEC8888">
      <w:start w:val="1"/>
      <w:numFmt w:val="bullet"/>
      <w:lvlText w:val="○"/>
      <w:lvlJc w:val="left"/>
      <w:pPr>
        <w:ind w:left="3600" w:hanging="360"/>
      </w:pPr>
    </w:lvl>
    <w:lvl w:ilvl="5" w:tplc="2E280E66">
      <w:start w:val="1"/>
      <w:numFmt w:val="bullet"/>
      <w:lvlText w:val="■"/>
      <w:lvlJc w:val="left"/>
      <w:pPr>
        <w:ind w:left="4320" w:hanging="360"/>
      </w:pPr>
    </w:lvl>
    <w:lvl w:ilvl="6" w:tplc="E308536A">
      <w:start w:val="1"/>
      <w:numFmt w:val="bullet"/>
      <w:lvlText w:val="●"/>
      <w:lvlJc w:val="left"/>
      <w:pPr>
        <w:ind w:left="5040" w:hanging="360"/>
      </w:pPr>
    </w:lvl>
    <w:lvl w:ilvl="7" w:tplc="996422C4">
      <w:start w:val="1"/>
      <w:numFmt w:val="bullet"/>
      <w:lvlText w:val="●"/>
      <w:lvlJc w:val="left"/>
      <w:pPr>
        <w:ind w:left="5760" w:hanging="360"/>
      </w:pPr>
    </w:lvl>
    <w:lvl w:ilvl="8" w:tplc="35E27E8A">
      <w:start w:val="1"/>
      <w:numFmt w:val="bullet"/>
      <w:lvlText w:val="●"/>
      <w:lvlJc w:val="left"/>
      <w:pPr>
        <w:ind w:left="6480" w:hanging="360"/>
      </w:pPr>
    </w:lvl>
  </w:abstractNum>
  <w:num w:numId="1" w16cid:durableId="1956713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06"/>
    <w:rsid w:val="003A281D"/>
    <w:rsid w:val="005A3806"/>
    <w:rsid w:val="006A5599"/>
    <w:rsid w:val="00F2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9DE05"/>
  <w15:docId w15:val="{1A1C84D2-AEF7-44A9-BD1C-6DD20820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3513</Characters>
  <Application>Microsoft Office Word</Application>
  <DocSecurity>0</DocSecurity>
  <Lines>83</Lines>
  <Paragraphs>54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Angela Acosta Ticona</cp:lastModifiedBy>
  <cp:revision>2</cp:revision>
  <dcterms:created xsi:type="dcterms:W3CDTF">2026-09-17T04:03:00Z</dcterms:created>
  <dcterms:modified xsi:type="dcterms:W3CDTF">2026-09-17T04:03:00Z</dcterms:modified>
</cp:coreProperties>
</file>