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51CD0" w14:textId="77777777" w:rsidR="002A5AE2" w:rsidRDefault="002A5AE2" w:rsidP="002A5AE2">
      <w:pPr>
        <w:spacing w:before="200" w:after="80"/>
        <w:jc w:val="center"/>
      </w:pPr>
      <w:r>
        <w:rPr>
          <w:b/>
          <w:bCs/>
          <w:color w:val="1F3864"/>
          <w:spacing w:val="20"/>
          <w:sz w:val="34"/>
          <w:szCs w:val="34"/>
        </w:rPr>
        <w:t>NATIONAL UNIVERSITY OF SAN MARCOS</w:t>
      </w:r>
    </w:p>
    <w:p w14:paraId="4FCF43AF" w14:textId="77777777" w:rsidR="002A5AE2" w:rsidRDefault="002A5AE2" w:rsidP="002A5AE2">
      <w:pPr>
        <w:pBdr>
          <w:bottom w:val="single" w:sz="12" w:space="8" w:color="2E75B6"/>
        </w:pBdr>
        <w:spacing w:after="240"/>
        <w:jc w:val="center"/>
      </w:pPr>
    </w:p>
    <w:p w14:paraId="5D646E88" w14:textId="77777777" w:rsidR="002A5AE2" w:rsidRDefault="002A5AE2" w:rsidP="002A5AE2">
      <w:pPr>
        <w:keepNext/>
        <w:spacing w:before="120" w:after="60"/>
        <w:jc w:val="center"/>
      </w:pPr>
      <w:r>
        <w:rPr>
          <w:noProof/>
        </w:rPr>
        <w:drawing>
          <wp:inline distT="0" distB="0" distL="0" distR="0" wp14:anchorId="3BEEE428" wp14:editId="56B3B429">
            <wp:extent cx="1419225" cy="2095500"/>
            <wp:effectExtent l="0" t="0" r="0" b="0"/>
            <wp:docPr id="1" name="image1.jpeg"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19225" cy="2095500"/>
                    </a:xfrm>
                    <a:prstGeom prst="rect">
                      <a:avLst/>
                    </a:prstGeom>
                  </pic:spPr>
                </pic:pic>
              </a:graphicData>
            </a:graphic>
          </wp:inline>
        </w:drawing>
      </w:r>
    </w:p>
    <w:p w14:paraId="70F14F10" w14:textId="3E04DE93" w:rsidR="002A5AE2" w:rsidRPr="001A5ED0" w:rsidRDefault="002A5AE2" w:rsidP="002A5AE2">
      <w:pPr>
        <w:spacing w:before="200" w:after="360"/>
        <w:ind w:left="400" w:right="400"/>
        <w:jc w:val="center"/>
      </w:pPr>
      <w:r>
        <w:rPr>
          <w:b/>
          <w:bCs/>
          <w:color w:val="595959"/>
          <w:sz w:val="26"/>
          <w:szCs w:val="26"/>
        </w:rPr>
        <w:br/>
      </w:r>
      <w:r w:rsidRPr="001A5ED0">
        <w:rPr>
          <w:b/>
          <w:bCs/>
          <w:color w:val="595959"/>
          <w:sz w:val="26"/>
          <w:szCs w:val="26"/>
        </w:rPr>
        <w:t>Doctoral Program in Deep Tech, Artificial Intelligence &amp; Emerging Technologies</w:t>
      </w:r>
      <w:r>
        <w:rPr>
          <w:b/>
          <w:bCs/>
          <w:color w:val="595959"/>
          <w:sz w:val="26"/>
          <w:szCs w:val="26"/>
        </w:rPr>
        <w:br/>
      </w:r>
      <w:r w:rsidRPr="002A5AE2">
        <w:t>Faculty of Systems Engineering and Informatics</w:t>
      </w:r>
    </w:p>
    <w:p w14:paraId="74731C16" w14:textId="1152F684" w:rsidR="002A5AE2" w:rsidRPr="001A5ED0" w:rsidRDefault="002A5AE2" w:rsidP="002A5AE2">
      <w:pPr>
        <w:spacing w:after="80"/>
        <w:jc w:val="center"/>
      </w:pPr>
      <w:r>
        <w:rPr>
          <w:b/>
          <w:bCs/>
          <w:color w:val="2E75B6"/>
          <w:spacing w:val="40"/>
          <w:sz w:val="30"/>
          <w:szCs w:val="30"/>
          <w:u w:val="single"/>
        </w:rPr>
        <w:br/>
      </w:r>
      <w:r>
        <w:rPr>
          <w:b/>
          <w:bCs/>
          <w:color w:val="2E75B6"/>
          <w:spacing w:val="40"/>
          <w:sz w:val="30"/>
          <w:szCs w:val="30"/>
          <w:u w:val="single"/>
        </w:rPr>
        <w:br/>
      </w:r>
      <w:r w:rsidRPr="001A5ED0">
        <w:rPr>
          <w:b/>
          <w:bCs/>
          <w:color w:val="2E75B6"/>
          <w:spacing w:val="40"/>
          <w:sz w:val="30"/>
          <w:szCs w:val="30"/>
          <w:u w:val="single"/>
        </w:rPr>
        <w:t xml:space="preserve">ASSIGNMENT </w:t>
      </w:r>
      <w:r>
        <w:rPr>
          <w:b/>
          <w:bCs/>
          <w:color w:val="2E75B6"/>
          <w:spacing w:val="40"/>
          <w:sz w:val="30"/>
          <w:szCs w:val="30"/>
          <w:u w:val="single"/>
        </w:rPr>
        <w:t>N° 3</w:t>
      </w:r>
    </w:p>
    <w:p w14:paraId="7F095AD2" w14:textId="6EFC2039" w:rsidR="002A5AE2" w:rsidRPr="001A5ED0" w:rsidRDefault="002A5AE2" w:rsidP="002A5AE2">
      <w:pPr>
        <w:spacing w:after="480"/>
        <w:jc w:val="center"/>
      </w:pPr>
      <w:r>
        <w:rPr>
          <w:color w:val="1F3864"/>
          <w:sz w:val="44"/>
          <w:szCs w:val="44"/>
        </w:rPr>
        <w:t>Research Protocol Development (revised after midterm feedback)</w:t>
      </w: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00"/>
        <w:gridCol w:w="1900"/>
      </w:tblGrid>
      <w:tr w:rsidR="002A5AE2" w14:paraId="40F47EF7" w14:textId="77777777" w:rsidTr="005D3AE3">
        <w:tblPrEx>
          <w:tblCellMar>
            <w:top w:w="0" w:type="dxa"/>
            <w:bottom w:w="0" w:type="dxa"/>
          </w:tblCellMar>
        </w:tblPrEx>
        <w:trPr>
          <w:jc w:val="center"/>
        </w:trPr>
        <w:tc>
          <w:tcPr>
            <w:tcW w:w="19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24EE1A9C" w14:textId="77777777" w:rsidR="002A5AE2" w:rsidRDefault="002A5AE2" w:rsidP="005D3AE3">
            <w:pPr>
              <w:spacing w:after="0"/>
            </w:pPr>
            <w:r>
              <w:rPr>
                <w:b/>
                <w:bCs/>
                <w:color w:val="1F3864"/>
                <w:sz w:val="21"/>
                <w:szCs w:val="21"/>
              </w:rPr>
              <w:t>Professor</w:t>
            </w:r>
          </w:p>
        </w:tc>
        <w:tc>
          <w:tcPr>
            <w:tcW w:w="44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5D7F90F0" w14:textId="4B58AE08" w:rsidR="002A5AE2" w:rsidRDefault="002A5AE2" w:rsidP="005D3AE3">
            <w:pPr>
              <w:spacing w:after="0"/>
            </w:pPr>
            <w:r w:rsidRPr="002A5AE2">
              <w:t>Dr. Loveleen Gaur</w:t>
            </w:r>
          </w:p>
        </w:tc>
        <w:tc>
          <w:tcPr>
            <w:tcW w:w="19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01E81EDC" w14:textId="77777777" w:rsidR="002A5AE2" w:rsidRDefault="002A5AE2" w:rsidP="005D3AE3">
            <w:pPr>
              <w:spacing w:after="0"/>
            </w:pPr>
          </w:p>
        </w:tc>
      </w:tr>
      <w:tr w:rsidR="002A5AE2" w14:paraId="4A68688A" w14:textId="77777777" w:rsidTr="005D3AE3">
        <w:tblPrEx>
          <w:tblCellMar>
            <w:top w:w="0" w:type="dxa"/>
            <w:bottom w:w="0" w:type="dxa"/>
          </w:tblCellMar>
        </w:tblPrEx>
        <w:trPr>
          <w:jc w:val="center"/>
        </w:trPr>
        <w:tc>
          <w:tcPr>
            <w:tcW w:w="19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12AE2F7C" w14:textId="34F23FDE" w:rsidR="002A5AE2" w:rsidRDefault="002A5AE2" w:rsidP="005D3AE3">
            <w:pPr>
              <w:spacing w:after="0"/>
            </w:pPr>
            <w:r>
              <w:rPr>
                <w:b/>
                <w:bCs/>
                <w:color w:val="1F3864"/>
                <w:sz w:val="21"/>
                <w:szCs w:val="21"/>
              </w:rPr>
              <w:t>Student</w:t>
            </w:r>
          </w:p>
        </w:tc>
        <w:tc>
          <w:tcPr>
            <w:tcW w:w="44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3F605BE6" w14:textId="77777777" w:rsidR="002A5AE2" w:rsidRDefault="002A5AE2" w:rsidP="005D3AE3">
            <w:pPr>
              <w:spacing w:after="0"/>
            </w:pPr>
            <w:r>
              <w:rPr>
                <w:color w:val="262626"/>
                <w:sz w:val="21"/>
                <w:szCs w:val="21"/>
              </w:rPr>
              <w:t>Acosta Ticona, Angela Milén</w:t>
            </w:r>
          </w:p>
        </w:tc>
        <w:tc>
          <w:tcPr>
            <w:tcW w:w="19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6EB254B4" w14:textId="77777777" w:rsidR="002A5AE2" w:rsidRDefault="002A5AE2" w:rsidP="005D3AE3">
            <w:pPr>
              <w:spacing w:after="0"/>
              <w:jc w:val="right"/>
            </w:pPr>
            <w:r>
              <w:rPr>
                <w:color w:val="595959"/>
                <w:sz w:val="21"/>
                <w:szCs w:val="21"/>
              </w:rPr>
              <w:t>COD. 26207270</w:t>
            </w:r>
          </w:p>
        </w:tc>
      </w:tr>
    </w:tbl>
    <w:p w14:paraId="6AFE617D" w14:textId="77777777" w:rsidR="002A5AE2" w:rsidRDefault="002A5AE2" w:rsidP="002A5AE2">
      <w:pPr>
        <w:spacing w:before="900"/>
        <w:jc w:val="center"/>
        <w:rPr>
          <w:b/>
          <w:bCs/>
          <w:color w:val="1F3864"/>
          <w:sz w:val="26"/>
          <w:szCs w:val="26"/>
        </w:rPr>
      </w:pPr>
      <w:r>
        <w:rPr>
          <w:b/>
          <w:bCs/>
          <w:color w:val="1F3864"/>
          <w:sz w:val="26"/>
          <w:szCs w:val="26"/>
        </w:rPr>
        <w:t>Lima 2026</w:t>
      </w:r>
    </w:p>
    <w:p w14:paraId="3E50127D" w14:textId="77777777" w:rsidR="002A5AE2" w:rsidRDefault="002A5AE2" w:rsidP="002A5AE2">
      <w:pPr>
        <w:spacing w:before="900"/>
        <w:jc w:val="center"/>
        <w:rPr>
          <w:b/>
          <w:bCs/>
          <w:color w:val="1F3864"/>
          <w:sz w:val="26"/>
          <w:szCs w:val="26"/>
        </w:rPr>
      </w:pPr>
    </w:p>
    <w:p w14:paraId="4A329AC8" w14:textId="77777777" w:rsidR="00AF58BD" w:rsidRDefault="00AF58BD"/>
    <w:p w14:paraId="1268D5A8" w14:textId="77777777" w:rsidR="00AF58BD" w:rsidRPr="002A5AE2" w:rsidRDefault="00000000" w:rsidP="002A5AE2">
      <w:pPr>
        <w:pStyle w:val="Ttulo1"/>
        <w:jc w:val="both"/>
        <w:rPr>
          <w:rFonts w:ascii="Arial" w:hAnsi="Arial" w:cs="Arial"/>
          <w:sz w:val="24"/>
          <w:szCs w:val="24"/>
        </w:rPr>
      </w:pPr>
      <w:r>
        <w:rPr>
          <w:rFonts w:ascii="Arial" w:hAnsi="Arial" w:cs="Arial"/>
          <w:sz w:val="24"/>
          <w:szCs w:val="24"/>
        </w:rPr>
        <w:t>Research Protocol — Sustainable Import Patterns of Tissue Parent Rolls in Peru (2020–2025)</w:t>
      </w:r>
    </w:p>
    <w:p w14:paraId="67AD0883" w14:textId="77777777" w:rsidR="00AF58BD" w:rsidRPr="002A5AE2" w:rsidRDefault="00000000" w:rsidP="002A5AE2">
      <w:pPr>
        <w:pStyle w:val="Ttulo2"/>
        <w:jc w:val="both"/>
        <w:rPr>
          <w:rFonts w:ascii="Arial" w:hAnsi="Arial" w:cs="Arial"/>
          <w:sz w:val="24"/>
          <w:szCs w:val="24"/>
        </w:rPr>
      </w:pPr>
      <w:r w:rsidRPr="002A5AE2">
        <w:rPr>
          <w:rFonts w:ascii="Arial" w:hAnsi="Arial" w:cs="Arial"/>
          <w:sz w:val="24"/>
          <w:szCs w:val="24"/>
        </w:rPr>
        <w:t>01 · Title</w:t>
      </w:r>
    </w:p>
    <w:p w14:paraId="742C7AE1" w14:textId="77777777" w:rsidR="00AF58BD" w:rsidRPr="002A5AE2" w:rsidRDefault="00000000" w:rsidP="002A5AE2">
      <w:pPr>
        <w:jc w:val="both"/>
        <w:rPr>
          <w:rFonts w:ascii="Arial" w:hAnsi="Arial" w:cs="Arial"/>
          <w:sz w:val="24"/>
          <w:szCs w:val="24"/>
        </w:rPr>
      </w:pPr>
      <w:r>
        <w:rPr>
          <w:rFonts w:ascii="Arial" w:hAnsi="Arial" w:cs="Arial"/>
          <w:b/>
          <w:sz w:val="24"/>
          <w:szCs w:val="24"/>
        </w:rPr>
        <w:t>Sustainable Import Patterns of Tissue Parent Rolls in Peru (2020–2025): A Machine Learning Analysis of Customs Import Records</w:t>
      </w:r>
    </w:p>
    <w:p w14:paraId="6972FC27" w14:textId="77777777" w:rsidR="00AF58BD" w:rsidRPr="002A5AE2" w:rsidRDefault="00000000" w:rsidP="002A5AE2">
      <w:pPr>
        <w:jc w:val="both"/>
        <w:rPr>
          <w:rFonts w:ascii="Arial" w:hAnsi="Arial" w:cs="Arial"/>
          <w:sz w:val="24"/>
          <w:szCs w:val="24"/>
          <w:lang w:val="es-PE"/>
        </w:rPr>
      </w:pPr>
      <w:r>
        <w:rPr>
          <w:rFonts w:ascii="Arial" w:hAnsi="Arial" w:cs="Arial"/>
          <w:sz w:val="24"/>
          <w:szCs w:val="24"/>
          <w:lang w:val="es-PE"/>
        </w:rPr>
        <w:t>Título (ES): Patrones de importación sostenible de bobinas de papel tissue en el Perú (2020–2025): un análisis con aprendizaje automático de registros aduaneros de importación.</w:t>
      </w:r>
    </w:p>
    <w:p w14:paraId="7B404C17" w14:textId="77777777" w:rsidR="00AF58BD" w:rsidRPr="002A5AE2" w:rsidRDefault="00000000" w:rsidP="002A5AE2">
      <w:pPr>
        <w:jc w:val="both"/>
        <w:rPr>
          <w:rFonts w:ascii="Arial" w:hAnsi="Arial" w:cs="Arial"/>
          <w:sz w:val="24"/>
          <w:szCs w:val="24"/>
        </w:rPr>
      </w:pPr>
      <w:r>
        <w:rPr>
          <w:rFonts w:ascii="Arial" w:hAnsi="Arial" w:cs="Arial"/>
          <w:b/>
          <w:sz w:val="24"/>
          <w:szCs w:val="24"/>
        </w:rPr>
        <w:t xml:space="preserve">Why this title: </w:t>
      </w:r>
      <w:r>
        <w:rPr>
          <w:rFonts w:ascii="Arial" w:hAnsi="Arial" w:cs="Arial"/>
          <w:sz w:val="24"/>
          <w:szCs w:val="24"/>
        </w:rPr>
        <w:t>it names the phenomenon (sustainable import patterns), the product, place and period (tissue parent rolls, Peru, 2020–2025), the data (customs import records) and the analysis (machine learning). It signals a positivist, quantitative study. After the midterm feedback it no longer mentions interviews, because the revised design does not use them.</w:t>
      </w:r>
    </w:p>
    <w:p w14:paraId="6CB40C15" w14:textId="77777777" w:rsidR="00AF58BD" w:rsidRPr="002A5AE2" w:rsidRDefault="00000000" w:rsidP="002A5AE2">
      <w:pPr>
        <w:pStyle w:val="Ttulo2"/>
        <w:jc w:val="both"/>
        <w:rPr>
          <w:rFonts w:ascii="Arial" w:hAnsi="Arial" w:cs="Arial"/>
          <w:sz w:val="24"/>
          <w:szCs w:val="24"/>
        </w:rPr>
      </w:pPr>
      <w:r w:rsidRPr="002A5AE2">
        <w:rPr>
          <w:rFonts w:ascii="Arial" w:hAnsi="Arial" w:cs="Arial"/>
          <w:sz w:val="24"/>
          <w:szCs w:val="24"/>
        </w:rPr>
        <w:t>02 · Abstract</w:t>
      </w:r>
    </w:p>
    <w:p w14:paraId="52407A0A"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t>Background.</w:t>
      </w:r>
      <w:r w:rsidRPr="002A5AE2">
        <w:rPr>
          <w:rFonts w:ascii="Arial" w:hAnsi="Arial" w:cs="Arial"/>
          <w:sz w:val="24"/>
          <w:szCs w:val="24"/>
        </w:rPr>
        <w:t xml:space="preserve"> Peru imported about US$665 million of paper and paperboard in 2023, yet SUNAT and </w:t>
      </w:r>
      <w:proofErr w:type="spellStart"/>
      <w:r w:rsidRPr="002A5AE2">
        <w:rPr>
          <w:rFonts w:ascii="Arial" w:hAnsi="Arial" w:cs="Arial"/>
          <w:sz w:val="24"/>
          <w:szCs w:val="24"/>
        </w:rPr>
        <w:t>Veritrade</w:t>
      </w:r>
      <w:proofErr w:type="spellEnd"/>
      <w:r w:rsidRPr="002A5AE2">
        <w:rPr>
          <w:rFonts w:ascii="Arial" w:hAnsi="Arial" w:cs="Arial"/>
          <w:sz w:val="24"/>
          <w:szCs w:val="24"/>
        </w:rPr>
        <w:t xml:space="preserve"> customs records contain no environmental variables. As a result, public entities (MINAM, SUNAT, MINCETUR, PRODUCE) and importers cannot tell sustainable paper imports from conventional ones, which limits green public procurement and the National Circular Economy Policy.</w:t>
      </w:r>
    </w:p>
    <w:p w14:paraId="0E96A794" w14:textId="77777777" w:rsidR="00AF58BD" w:rsidRPr="002A5AE2" w:rsidRDefault="00000000" w:rsidP="002A5AE2">
      <w:pPr>
        <w:jc w:val="both"/>
        <w:rPr>
          <w:rFonts w:ascii="Arial" w:hAnsi="Arial" w:cs="Arial"/>
          <w:sz w:val="24"/>
          <w:szCs w:val="24"/>
        </w:rPr>
      </w:pPr>
      <w:r>
        <w:rPr>
          <w:rFonts w:ascii="Arial" w:hAnsi="Arial" w:cs="Arial"/>
          <w:b/>
          <w:sz w:val="24"/>
          <w:szCs w:val="24"/>
        </w:rPr>
        <w:t>Objective.</w:t>
      </w:r>
      <w:r>
        <w:rPr>
          <w:rFonts w:ascii="Arial" w:hAnsi="Arial" w:cs="Arial"/>
          <w:sz w:val="24"/>
          <w:szCs w:val="24"/>
        </w:rPr>
        <w:t xml:space="preserve"> To identify the sustainable import patterns that characterize Peru's imports of tissue parent rolls for local conversion between 2020 and 2025, and to test which customs variables predict proxy-indicated sustainable imports.</w:t>
      </w:r>
    </w:p>
    <w:p w14:paraId="44A7995B" w14:textId="77777777" w:rsidR="00AF58BD" w:rsidRPr="002A5AE2" w:rsidRDefault="00000000" w:rsidP="002A5AE2">
      <w:pPr>
        <w:jc w:val="both"/>
        <w:rPr>
          <w:rFonts w:ascii="Arial" w:hAnsi="Arial" w:cs="Arial"/>
          <w:sz w:val="24"/>
          <w:szCs w:val="24"/>
        </w:rPr>
      </w:pPr>
      <w:r>
        <w:rPr>
          <w:rFonts w:ascii="Arial" w:hAnsi="Arial" w:cs="Arial"/>
          <w:b/>
          <w:sz w:val="24"/>
          <w:szCs w:val="24"/>
        </w:rPr>
        <w:t>Methods.</w:t>
      </w:r>
      <w:r>
        <w:rPr>
          <w:rFonts w:ascii="Arial" w:hAnsi="Arial" w:cs="Arial"/>
          <w:sz w:val="24"/>
          <w:szCs w:val="24"/>
        </w:rPr>
        <w:t xml:space="preserve"> Positivist paradigm; quantitative and retrospective design on real import records (Veritrade, based on SUNAT data; HS 4803.00.90, 4818.20 and 4818.90, filtered to tissue parent rolls (bobinas) for local conversion; January 2020 – December 2025). Sustainability is operationalized through explicit proxies (tariff subheading, country and supplier of origin, certification wording such as FSC/PEFC/ISO 14001, and recycled-content wording). Isolation Forest filters data-quality anomalies, K-Means groups transactions into import profiles, and XGBoost with SHAP tests which structured customs fields predict the proxy-based label, against baseline models. Models are trained on 2020–2024 and tested on 2025. Five hypotheses are tested statistically, and the proxy label is validated with a two-rater audit (Cohen's kappa) and the public FSC/PEFC registries.</w:t>
      </w:r>
    </w:p>
    <w:p w14:paraId="6CB30190" w14:textId="77777777" w:rsidR="00AF58BD" w:rsidRPr="002A5AE2" w:rsidRDefault="00000000" w:rsidP="002A5AE2">
      <w:pPr>
        <w:jc w:val="both"/>
        <w:rPr>
          <w:rFonts w:ascii="Arial" w:hAnsi="Arial" w:cs="Arial"/>
          <w:sz w:val="24"/>
          <w:szCs w:val="24"/>
        </w:rPr>
      </w:pPr>
      <w:r>
        <w:rPr>
          <w:rFonts w:ascii="Arial" w:hAnsi="Arial" w:cs="Arial"/>
          <w:b/>
          <w:sz w:val="24"/>
          <w:szCs w:val="24"/>
        </w:rPr>
        <w:t>Expected results.</w:t>
      </w:r>
      <w:r>
        <w:rPr>
          <w:rFonts w:ascii="Arial" w:hAnsi="Arial" w:cs="Arial"/>
          <w:sz w:val="24"/>
          <w:szCs w:val="24"/>
        </w:rPr>
        <w:t xml:space="preserve"> A typology of parent-roll import profiles, a ranking of customs variables associated with sustainability proxies, the trend of sustainable imports between 2020 and 2025, and a reproducible method that links customs data with sustainability criteria for policy and green procurement.</w:t>
      </w:r>
    </w:p>
    <w:p w14:paraId="2A4FD26C" w14:textId="77777777" w:rsidR="00AF58BD" w:rsidRPr="002A5AE2" w:rsidRDefault="00000000" w:rsidP="002A5AE2">
      <w:pPr>
        <w:jc w:val="both"/>
        <w:rPr>
          <w:rFonts w:ascii="Arial" w:hAnsi="Arial" w:cs="Arial"/>
          <w:sz w:val="24"/>
          <w:szCs w:val="24"/>
        </w:rPr>
      </w:pPr>
      <w:r>
        <w:rPr>
          <w:rFonts w:ascii="Arial" w:hAnsi="Arial" w:cs="Arial"/>
          <w:b/>
          <w:sz w:val="24"/>
          <w:szCs w:val="24"/>
        </w:rPr>
        <w:t xml:space="preserve">Keywords: </w:t>
      </w:r>
      <w:r>
        <w:rPr>
          <w:rFonts w:ascii="Arial" w:hAnsi="Arial" w:cs="Arial"/>
          <w:sz w:val="24"/>
          <w:szCs w:val="24"/>
        </w:rPr>
        <w:t>sustainable imports; paper products; machine learning; customs data; positivism; circular economy; Peru.</w:t>
      </w:r>
    </w:p>
    <w:p w14:paraId="53483C4B" w14:textId="77777777" w:rsidR="00AF58BD" w:rsidRPr="002A5AE2" w:rsidRDefault="00000000" w:rsidP="002A5AE2">
      <w:pPr>
        <w:pStyle w:val="Ttulo2"/>
        <w:jc w:val="both"/>
        <w:rPr>
          <w:rFonts w:ascii="Arial" w:hAnsi="Arial" w:cs="Arial"/>
          <w:sz w:val="24"/>
          <w:szCs w:val="24"/>
        </w:rPr>
      </w:pPr>
      <w:r w:rsidRPr="002A5AE2">
        <w:rPr>
          <w:rFonts w:ascii="Arial" w:hAnsi="Arial" w:cs="Arial"/>
          <w:sz w:val="24"/>
          <w:szCs w:val="24"/>
        </w:rPr>
        <w:t>03 · Introduction &amp; Problem Statement</w:t>
      </w:r>
    </w:p>
    <w:p w14:paraId="153DF8E4"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Context</w:t>
      </w:r>
    </w:p>
    <w:p w14:paraId="05820F09"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 xml:space="preserve">The global paper products industry is under growing pressure to cut its environmental impact, because production is intensive in water, energy and greenhouse-gas emissions. Life-cycle studies show that a product's footprint varies with fiber type (virgin vs. recycled), bleaching process (ECF, TCF, PCF) and energy source; tissue production alone emits about 1,485–1,849 kg </w:t>
      </w:r>
      <w:proofErr w:type="spellStart"/>
      <w:r w:rsidRPr="002A5AE2">
        <w:rPr>
          <w:rFonts w:ascii="Arial" w:hAnsi="Arial" w:cs="Arial"/>
          <w:sz w:val="24"/>
          <w:szCs w:val="24"/>
        </w:rPr>
        <w:t>CO</w:t>
      </w:r>
      <w:r w:rsidRPr="002A5AE2">
        <w:rPr>
          <w:rFonts w:ascii="Cambria Math" w:hAnsi="Cambria Math" w:cs="Cambria Math"/>
          <w:sz w:val="24"/>
          <w:szCs w:val="24"/>
        </w:rPr>
        <w:t>₂</w:t>
      </w:r>
      <w:r w:rsidRPr="002A5AE2">
        <w:rPr>
          <w:rFonts w:ascii="Arial" w:hAnsi="Arial" w:cs="Arial"/>
          <w:sz w:val="24"/>
          <w:szCs w:val="24"/>
        </w:rPr>
        <w:t>eq</w:t>
      </w:r>
      <w:proofErr w:type="spellEnd"/>
      <w:r w:rsidRPr="002A5AE2">
        <w:rPr>
          <w:rFonts w:ascii="Arial" w:hAnsi="Arial" w:cs="Arial"/>
          <w:sz w:val="24"/>
          <w:szCs w:val="24"/>
        </w:rPr>
        <w:t xml:space="preserve"> per </w:t>
      </w:r>
      <w:proofErr w:type="spellStart"/>
      <w:r w:rsidRPr="002A5AE2">
        <w:rPr>
          <w:rFonts w:ascii="Arial" w:hAnsi="Arial" w:cs="Arial"/>
          <w:sz w:val="24"/>
          <w:szCs w:val="24"/>
        </w:rPr>
        <w:t>tonne</w:t>
      </w:r>
      <w:proofErr w:type="spellEnd"/>
      <w:r w:rsidRPr="002A5AE2">
        <w:rPr>
          <w:rFonts w:ascii="Arial" w:hAnsi="Arial" w:cs="Arial"/>
          <w:sz w:val="24"/>
          <w:szCs w:val="24"/>
        </w:rPr>
        <w:t>. High-consumption segments such as toilet paper, paper towels and napkins are therefore central to the shift toward sustainable products.</w:t>
      </w:r>
    </w:p>
    <w:p w14:paraId="69877554"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Peru depends heavily on imports in this sector: paper and paperboard imports reached about US$665 million in 2023. Every shipment generates a customs record with the tariff subheading, commercial description, country of origin, FOB and CIF value, weight and quantity.</w:t>
      </w:r>
    </w:p>
    <w:p w14:paraId="0CAD060A"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Problem statement</w:t>
      </w:r>
    </w:p>
    <w:p w14:paraId="64CD5E09"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 xml:space="preserve">Peruvian foreign-trade databases (SUNAT, </w:t>
      </w:r>
      <w:proofErr w:type="spellStart"/>
      <w:r w:rsidRPr="002A5AE2">
        <w:rPr>
          <w:rFonts w:ascii="Arial" w:hAnsi="Arial" w:cs="Arial"/>
          <w:sz w:val="24"/>
          <w:szCs w:val="24"/>
        </w:rPr>
        <w:t>Veritrade</w:t>
      </w:r>
      <w:proofErr w:type="spellEnd"/>
      <w:r w:rsidRPr="002A5AE2">
        <w:rPr>
          <w:rFonts w:ascii="Arial" w:hAnsi="Arial" w:cs="Arial"/>
          <w:sz w:val="24"/>
          <w:szCs w:val="24"/>
        </w:rPr>
        <w:t>) do not record any environmental variable. No algorithm can discover sustainability in data that contain no sustainability information, so the concept of a "sustainable import" has never been operationalized from customs data in Peru.</w:t>
      </w:r>
    </w:p>
    <w:p w14:paraId="359D6626"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The literature is also fragmented across three streams that rarely meet: (</w:t>
      </w:r>
      <w:proofErr w:type="spellStart"/>
      <w:r w:rsidRPr="002A5AE2">
        <w:rPr>
          <w:rFonts w:ascii="Arial" w:hAnsi="Arial" w:cs="Arial"/>
          <w:sz w:val="24"/>
          <w:szCs w:val="24"/>
        </w:rPr>
        <w:t>i</w:t>
      </w:r>
      <w:proofErr w:type="spellEnd"/>
      <w:r w:rsidRPr="002A5AE2">
        <w:rPr>
          <w:rFonts w:ascii="Arial" w:hAnsi="Arial" w:cs="Arial"/>
          <w:sz w:val="24"/>
          <w:szCs w:val="24"/>
        </w:rPr>
        <w:t xml:space="preserve">) </w:t>
      </w:r>
      <w:proofErr w:type="gramStart"/>
      <w:r w:rsidRPr="002A5AE2">
        <w:rPr>
          <w:rFonts w:ascii="Arial" w:hAnsi="Arial" w:cs="Arial"/>
          <w:sz w:val="24"/>
          <w:szCs w:val="24"/>
        </w:rPr>
        <w:t>life-cycle</w:t>
      </w:r>
      <w:proofErr w:type="gramEnd"/>
      <w:r w:rsidRPr="002A5AE2">
        <w:rPr>
          <w:rFonts w:ascii="Arial" w:hAnsi="Arial" w:cs="Arial"/>
          <w:sz w:val="24"/>
          <w:szCs w:val="24"/>
        </w:rPr>
        <w:t xml:space="preserve"> and carbon-footprint studies of paper products, (ii) machine learning in international trade and supply chains, and (iii) sustainable supplier selection with multi-criteria and AI methods. None of them explains </w:t>
      </w:r>
      <w:r w:rsidRPr="002A5AE2">
        <w:rPr>
          <w:rFonts w:ascii="Arial" w:hAnsi="Arial" w:cs="Arial"/>
          <w:i/>
          <w:sz w:val="24"/>
          <w:szCs w:val="24"/>
        </w:rPr>
        <w:t>which</w:t>
      </w:r>
      <w:r w:rsidRPr="002A5AE2">
        <w:rPr>
          <w:rFonts w:ascii="Arial" w:hAnsi="Arial" w:cs="Arial"/>
          <w:sz w:val="24"/>
          <w:szCs w:val="24"/>
        </w:rPr>
        <w:t xml:space="preserve"> sustainable import patterns exist in a specific national sector and </w:t>
      </w:r>
      <w:r w:rsidRPr="002A5AE2">
        <w:rPr>
          <w:rFonts w:ascii="Arial" w:hAnsi="Arial" w:cs="Arial"/>
          <w:i/>
          <w:sz w:val="24"/>
          <w:szCs w:val="24"/>
        </w:rPr>
        <w:t>why</w:t>
      </w:r>
      <w:r w:rsidRPr="002A5AE2">
        <w:rPr>
          <w:rFonts w:ascii="Arial" w:hAnsi="Arial" w:cs="Arial"/>
          <w:sz w:val="24"/>
          <w:szCs w:val="24"/>
        </w:rPr>
        <w:t xml:space="preserve"> they occur.</w:t>
      </w:r>
    </w:p>
    <w:p w14:paraId="72648257"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The practical consequence is that MINAM, SUNAT, MINCETUR and PRODUCE lack evidence to design green public procurement, differentiated customs incentives or green-trade promotion, and importers must rely on unverified supplier claims.</w:t>
      </w:r>
    </w:p>
    <w:p w14:paraId="14E928D6"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Justification</w:t>
      </w:r>
    </w:p>
    <w:p w14:paraId="4FD05C81" w14:textId="77777777" w:rsidR="00AF58BD" w:rsidRPr="002A5AE2" w:rsidRDefault="00000000" w:rsidP="002A5AE2">
      <w:pPr>
        <w:pStyle w:val="Prrafodelista"/>
        <w:numPr>
          <w:ilvl w:val="0"/>
          <w:numId w:val="2"/>
        </w:numPr>
        <w:jc w:val="both"/>
        <w:rPr>
          <w:rFonts w:ascii="Arial" w:hAnsi="Arial" w:cs="Arial"/>
          <w:sz w:val="24"/>
          <w:szCs w:val="24"/>
        </w:rPr>
      </w:pPr>
      <w:r w:rsidRPr="002A5AE2">
        <w:rPr>
          <w:rFonts w:ascii="Arial" w:hAnsi="Arial" w:cs="Arial"/>
          <w:b/>
          <w:sz w:val="24"/>
          <w:szCs w:val="24"/>
        </w:rPr>
        <w:t>Theoretical:</w:t>
      </w:r>
      <w:r w:rsidRPr="002A5AE2">
        <w:rPr>
          <w:rFonts w:ascii="Arial" w:hAnsi="Arial" w:cs="Arial"/>
          <w:sz w:val="24"/>
          <w:szCs w:val="24"/>
        </w:rPr>
        <w:t xml:space="preserve"> operationalizes "sustainable import" through explicit, validated proxies and links life-cycle criteria with real trade flows.</w:t>
      </w:r>
    </w:p>
    <w:p w14:paraId="077994A3" w14:textId="77777777" w:rsidR="00AF58BD" w:rsidRPr="002A5AE2" w:rsidRDefault="00000000" w:rsidP="002A5AE2">
      <w:pPr>
        <w:pStyle w:val="Prrafodelista"/>
        <w:numPr>
          <w:ilvl w:val="0"/>
          <w:numId w:val="2"/>
        </w:numPr>
        <w:jc w:val="both"/>
        <w:rPr>
          <w:rFonts w:ascii="Arial" w:hAnsi="Arial" w:cs="Arial"/>
          <w:sz w:val="24"/>
          <w:szCs w:val="24"/>
        </w:rPr>
      </w:pPr>
      <w:r>
        <w:rPr>
          <w:rFonts w:ascii="Arial" w:hAnsi="Arial" w:cs="Arial"/>
          <w:b/>
          <w:sz w:val="24"/>
          <w:szCs w:val="24"/>
        </w:rPr>
        <w:t xml:space="preserve">Methodological: </w:t>
      </w:r>
      <w:r>
        <w:rPr>
          <w:rFonts w:ascii="Arial" w:hAnsi="Arial" w:cs="Arial"/>
          <w:sz w:val="24"/>
          <w:szCs w:val="24"/>
        </w:rPr>
        <w:t>shows how machine learning on real administrative records can be made reproducible and statistically tested (temporal hold-out, grouped validation, baselines, fixed seeds).</w:t>
      </w:r>
    </w:p>
    <w:p w14:paraId="5E47E789" w14:textId="77777777" w:rsidR="00AF58BD" w:rsidRPr="002A5AE2" w:rsidRDefault="00000000" w:rsidP="002A5AE2">
      <w:pPr>
        <w:pStyle w:val="Prrafodelista"/>
        <w:numPr>
          <w:ilvl w:val="0"/>
          <w:numId w:val="2"/>
        </w:numPr>
        <w:jc w:val="both"/>
        <w:rPr>
          <w:rFonts w:ascii="Arial" w:hAnsi="Arial" w:cs="Arial"/>
          <w:sz w:val="24"/>
          <w:szCs w:val="24"/>
        </w:rPr>
      </w:pPr>
      <w:r w:rsidRPr="002A5AE2">
        <w:rPr>
          <w:rFonts w:ascii="Arial" w:hAnsi="Arial" w:cs="Arial"/>
          <w:b/>
          <w:sz w:val="24"/>
          <w:szCs w:val="24"/>
        </w:rPr>
        <w:t>Practical:</w:t>
      </w:r>
      <w:r w:rsidRPr="002A5AE2">
        <w:rPr>
          <w:rFonts w:ascii="Arial" w:hAnsi="Arial" w:cs="Arial"/>
          <w:sz w:val="24"/>
          <w:szCs w:val="24"/>
        </w:rPr>
        <w:t xml:space="preserve"> gives public entities and importers an evidence-based framework aligned with Peru's National Circular Economy Policy and SDG 12 (responsible consumption and production).</w:t>
      </w:r>
    </w:p>
    <w:p w14:paraId="078A6710" w14:textId="77777777" w:rsidR="00AF58BD" w:rsidRPr="002A5AE2" w:rsidRDefault="00000000" w:rsidP="002A5AE2">
      <w:pPr>
        <w:pStyle w:val="Prrafodelista"/>
        <w:numPr>
          <w:ilvl w:val="0"/>
          <w:numId w:val="2"/>
        </w:numPr>
        <w:jc w:val="both"/>
        <w:rPr>
          <w:rFonts w:ascii="Arial" w:hAnsi="Arial" w:cs="Arial"/>
          <w:sz w:val="24"/>
          <w:szCs w:val="24"/>
        </w:rPr>
      </w:pPr>
      <w:r>
        <w:rPr>
          <w:rFonts w:ascii="Arial" w:hAnsi="Arial" w:cs="Arial"/>
          <w:b/>
          <w:sz w:val="24"/>
          <w:szCs w:val="24"/>
        </w:rPr>
        <w:t xml:space="preserve">Feasibility: </w:t>
      </w:r>
      <w:r>
        <w:rPr>
          <w:rFonts w:ascii="Arial" w:hAnsi="Arial" w:cs="Arial"/>
          <w:sz w:val="24"/>
          <w:szCs w:val="24"/>
        </w:rPr>
        <w:t>real customs records for January 2020 – December 2025 are already in hand, the ML methods are established, and the FSC/PEFC certification registries are public.</w:t>
      </w:r>
    </w:p>
    <w:p w14:paraId="63A080B1"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Objectives</w:t>
      </w:r>
    </w:p>
    <w:p w14:paraId="1F75E2C4" w14:textId="77777777" w:rsidR="00AF58BD" w:rsidRPr="002A5AE2" w:rsidRDefault="00000000" w:rsidP="002A5AE2">
      <w:pPr>
        <w:jc w:val="both"/>
        <w:rPr>
          <w:rFonts w:ascii="Arial" w:hAnsi="Arial" w:cs="Arial"/>
          <w:sz w:val="24"/>
          <w:szCs w:val="24"/>
        </w:rPr>
      </w:pPr>
      <w:r>
        <w:rPr>
          <w:rFonts w:ascii="Arial" w:hAnsi="Arial" w:cs="Arial"/>
          <w:b/>
          <w:sz w:val="24"/>
          <w:szCs w:val="24"/>
        </w:rPr>
        <w:t>General objective.</w:t>
      </w:r>
      <w:r>
        <w:rPr>
          <w:rFonts w:ascii="Arial" w:hAnsi="Arial" w:cs="Arial"/>
          <w:sz w:val="24"/>
          <w:szCs w:val="24"/>
        </w:rPr>
        <w:t xml:space="preserve"> To identify the sustainable import patterns that characterize Peru's imports of tissue parent rolls for local conversion between 2020 and 2025, and to test which customs variables predict them.</w:t>
      </w:r>
    </w:p>
    <w:p w14:paraId="0889323A"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t>Specific objectives.</w:t>
      </w:r>
    </w:p>
    <w:p w14:paraId="12589751" w14:textId="77777777" w:rsidR="00AF58BD" w:rsidRPr="002A5AE2" w:rsidRDefault="00000000" w:rsidP="002A5AE2">
      <w:pPr>
        <w:pStyle w:val="Prrafodelista"/>
        <w:numPr>
          <w:ilvl w:val="0"/>
          <w:numId w:val="3"/>
        </w:numPr>
        <w:jc w:val="both"/>
        <w:rPr>
          <w:rFonts w:ascii="Arial" w:hAnsi="Arial" w:cs="Arial"/>
          <w:sz w:val="24"/>
          <w:szCs w:val="24"/>
        </w:rPr>
      </w:pPr>
      <w:r>
        <w:rPr>
          <w:rFonts w:ascii="Arial" w:hAnsi="Arial" w:cs="Arial"/>
          <w:sz w:val="24"/>
          <w:szCs w:val="24"/>
        </w:rPr>
        <w:t>Operationalize sustainability in customs records through explicit proxies and a proxy-based label, stating each proxy's meaning and known sources of error, and measuring label quality (Cohen's kappa).</w:t>
      </w:r>
    </w:p>
    <w:p w14:paraId="6BB1B366" w14:textId="77777777" w:rsidR="00AF58BD" w:rsidRPr="002A5AE2" w:rsidRDefault="00000000" w:rsidP="002A5AE2">
      <w:pPr>
        <w:pStyle w:val="Prrafodelista"/>
        <w:numPr>
          <w:ilvl w:val="0"/>
          <w:numId w:val="3"/>
        </w:numPr>
        <w:jc w:val="both"/>
        <w:rPr>
          <w:rFonts w:ascii="Arial" w:hAnsi="Arial" w:cs="Arial"/>
          <w:sz w:val="24"/>
          <w:szCs w:val="24"/>
        </w:rPr>
      </w:pPr>
      <w:r w:rsidRPr="002A5AE2">
        <w:rPr>
          <w:rFonts w:ascii="Arial" w:hAnsi="Arial" w:cs="Arial"/>
          <w:sz w:val="24"/>
          <w:szCs w:val="24"/>
        </w:rPr>
        <w:t>Identify distinct import profiles (K-Means) after filtering data-quality anomalies (Isolation Forest).</w:t>
      </w:r>
    </w:p>
    <w:p w14:paraId="1B3C3A02" w14:textId="77777777" w:rsidR="00AF58BD" w:rsidRPr="002A5AE2" w:rsidRDefault="00000000" w:rsidP="002A5AE2">
      <w:pPr>
        <w:pStyle w:val="Prrafodelista"/>
        <w:numPr>
          <w:ilvl w:val="0"/>
          <w:numId w:val="3"/>
        </w:numPr>
        <w:jc w:val="both"/>
        <w:rPr>
          <w:rFonts w:ascii="Arial" w:hAnsi="Arial" w:cs="Arial"/>
          <w:sz w:val="24"/>
          <w:szCs w:val="24"/>
        </w:rPr>
      </w:pPr>
      <w:r w:rsidRPr="002A5AE2">
        <w:rPr>
          <w:rFonts w:ascii="Arial" w:hAnsi="Arial" w:cs="Arial"/>
          <w:sz w:val="24"/>
          <w:szCs w:val="24"/>
        </w:rPr>
        <w:t>Determine which structured customs variables best predict the proxy-based sustainability label (</w:t>
      </w:r>
      <w:proofErr w:type="spellStart"/>
      <w:r w:rsidRPr="002A5AE2">
        <w:rPr>
          <w:rFonts w:ascii="Arial" w:hAnsi="Arial" w:cs="Arial"/>
          <w:sz w:val="24"/>
          <w:szCs w:val="24"/>
        </w:rPr>
        <w:t>XGBoost</w:t>
      </w:r>
      <w:proofErr w:type="spellEnd"/>
      <w:r w:rsidRPr="002A5AE2">
        <w:rPr>
          <w:rFonts w:ascii="Arial" w:hAnsi="Arial" w:cs="Arial"/>
          <w:sz w:val="24"/>
          <w:szCs w:val="24"/>
        </w:rPr>
        <w:t xml:space="preserve"> with SHAP).</w:t>
      </w:r>
    </w:p>
    <w:p w14:paraId="708A0C35" w14:textId="77777777" w:rsidR="00AF58BD" w:rsidRPr="002A5AE2" w:rsidRDefault="00000000" w:rsidP="002A5AE2">
      <w:pPr>
        <w:pStyle w:val="Prrafodelista"/>
        <w:numPr>
          <w:ilvl w:val="0"/>
          <w:numId w:val="3"/>
        </w:numPr>
        <w:jc w:val="both"/>
        <w:rPr>
          <w:rFonts w:ascii="Arial" w:hAnsi="Arial" w:cs="Arial"/>
          <w:sz w:val="24"/>
          <w:szCs w:val="24"/>
        </w:rPr>
      </w:pPr>
      <w:r>
        <w:rPr>
          <w:rFonts w:ascii="Arial" w:hAnsi="Arial" w:cs="Arial"/>
          <w:sz w:val="24"/>
          <w:szCs w:val="24"/>
        </w:rPr>
        <w:t>Measure how the share of proxy-indicated sustainable imports changed between 2020 and 2025.</w:t>
      </w:r>
    </w:p>
    <w:p w14:paraId="7B0330E8" w14:textId="77777777" w:rsidR="00AF58BD" w:rsidRPr="002A5AE2" w:rsidRDefault="00000000" w:rsidP="002A5AE2">
      <w:pPr>
        <w:pStyle w:val="Prrafodelista"/>
        <w:numPr>
          <w:ilvl w:val="0"/>
          <w:numId w:val="3"/>
        </w:numPr>
        <w:jc w:val="both"/>
        <w:rPr>
          <w:rFonts w:ascii="Arial" w:hAnsi="Arial" w:cs="Arial"/>
          <w:sz w:val="24"/>
          <w:szCs w:val="24"/>
        </w:rPr>
      </w:pPr>
      <w:r>
        <w:rPr>
          <w:rFonts w:ascii="Arial" w:hAnsi="Arial" w:cs="Arial"/>
          <w:sz w:val="24"/>
          <w:szCs w:val="24"/>
        </w:rPr>
        <w:t>Derive recommendations for public policy and green procurement from the measured patterns, including environmental fields that SUNAT could add to import declarations.</w:t>
      </w:r>
    </w:p>
    <w:p w14:paraId="44782499"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Scope</w:t>
      </w:r>
    </w:p>
    <w:p w14:paraId="5020E636" w14:textId="77777777" w:rsidR="00AF58BD" w:rsidRPr="002A5AE2" w:rsidRDefault="00000000" w:rsidP="002A5AE2">
      <w:pPr>
        <w:jc w:val="both"/>
        <w:rPr>
          <w:rFonts w:ascii="Arial" w:hAnsi="Arial" w:cs="Arial"/>
          <w:sz w:val="24"/>
          <w:szCs w:val="24"/>
        </w:rPr>
      </w:pPr>
      <w:r>
        <w:rPr>
          <w:rFonts w:ascii="Arial" w:hAnsi="Arial" w:cs="Arial"/>
          <w:sz w:val="24"/>
          <w:szCs w:val="24"/>
        </w:rPr>
        <w:t>The study covers tissue parent rolls (bobinas) imported into Peru for local conversion into toilet paper, towels and napkins, declared under HS 4803.00.90, 4818.20 and 4818.90, from January 2020 to December 2025. Parent rolls are separated from finished consumer products with written, reproducible rules (roll diameter and width, declared industrial use, packaging terms), and ambiguous records are decided by expert review and documented. It is a quantitative study of secondary data: it does not interview people, deploy a system in SUNAT or formulate policy, although it offers recommendations.</w:t>
      </w:r>
    </w:p>
    <w:p w14:paraId="192C7D49" w14:textId="77777777" w:rsidR="00AF58BD" w:rsidRPr="002A5AE2" w:rsidRDefault="00000000" w:rsidP="002A5AE2">
      <w:pPr>
        <w:pStyle w:val="Ttulo2"/>
        <w:jc w:val="both"/>
        <w:rPr>
          <w:rFonts w:ascii="Arial" w:hAnsi="Arial" w:cs="Arial"/>
          <w:sz w:val="24"/>
          <w:szCs w:val="24"/>
        </w:rPr>
      </w:pPr>
      <w:r w:rsidRPr="002A5AE2">
        <w:rPr>
          <w:rFonts w:ascii="Arial" w:hAnsi="Arial" w:cs="Arial"/>
          <w:sz w:val="24"/>
          <w:szCs w:val="24"/>
        </w:rPr>
        <w:t>04 · Literature Review</w:t>
      </w:r>
    </w:p>
    <w:p w14:paraId="5ACF20ED"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The review is organized in three streams whose lack of integration defines the research gap.</w:t>
      </w:r>
    </w:p>
    <w:p w14:paraId="572F01E8"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Stream 1 — Machine learning in international trade and customs</w:t>
      </w:r>
    </w:p>
    <w:p w14:paraId="41690B01" w14:textId="77777777" w:rsidR="00AF58BD" w:rsidRPr="002A5AE2" w:rsidRDefault="00000000" w:rsidP="002A5AE2">
      <w:pPr>
        <w:jc w:val="both"/>
        <w:rPr>
          <w:rFonts w:ascii="Arial" w:hAnsi="Arial" w:cs="Arial"/>
          <w:sz w:val="24"/>
          <w:szCs w:val="24"/>
        </w:rPr>
      </w:pPr>
      <w:proofErr w:type="spellStart"/>
      <w:r w:rsidRPr="002A5AE2">
        <w:rPr>
          <w:rFonts w:ascii="Arial" w:hAnsi="Arial" w:cs="Arial"/>
          <w:sz w:val="24"/>
          <w:szCs w:val="24"/>
        </w:rPr>
        <w:t>Breinlich</w:t>
      </w:r>
      <w:proofErr w:type="spellEnd"/>
      <w:r w:rsidRPr="002A5AE2">
        <w:rPr>
          <w:rFonts w:ascii="Arial" w:hAnsi="Arial" w:cs="Arial"/>
          <w:sz w:val="24"/>
          <w:szCs w:val="24"/>
        </w:rPr>
        <w:t xml:space="preserve"> et al. (2021) showed that ML selects the trade-agreement provisions that matter for trade flows more efficiently than traditional econometric </w:t>
      </w:r>
      <w:proofErr w:type="gramStart"/>
      <w:r w:rsidRPr="002A5AE2">
        <w:rPr>
          <w:rFonts w:ascii="Arial" w:hAnsi="Arial" w:cs="Arial"/>
          <w:sz w:val="24"/>
          <w:szCs w:val="24"/>
        </w:rPr>
        <w:t>methods, but</w:t>
      </w:r>
      <w:proofErr w:type="gramEnd"/>
      <w:r w:rsidRPr="002A5AE2">
        <w:rPr>
          <w:rFonts w:ascii="Arial" w:hAnsi="Arial" w:cs="Arial"/>
          <w:sz w:val="24"/>
          <w:szCs w:val="24"/>
        </w:rPr>
        <w:t xml:space="preserve"> did not address sustainability. Ferencz (2022, OECD) found that AI improves customs efficiency, risk detection and trade facilitation, provided adequate regulatory frameworks exist. Together they establish that customs transaction data can support ML analysis, which is the premise of this study.</w:t>
      </w:r>
    </w:p>
    <w:p w14:paraId="75D80A83"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Stream 2 — AI for sustainable and circular supply chains</w:t>
      </w:r>
    </w:p>
    <w:p w14:paraId="7C184C08"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Systematic reviews show AI is applied mainly to demand forecasting, supplier selection, inventory and logistics, with growing evidence of sustainability benefits (</w:t>
      </w:r>
      <w:proofErr w:type="spellStart"/>
      <w:r w:rsidRPr="002A5AE2">
        <w:rPr>
          <w:rFonts w:ascii="Arial" w:hAnsi="Arial" w:cs="Arial"/>
          <w:sz w:val="24"/>
          <w:szCs w:val="24"/>
        </w:rPr>
        <w:t>Culot</w:t>
      </w:r>
      <w:proofErr w:type="spellEnd"/>
      <w:r w:rsidRPr="002A5AE2">
        <w:rPr>
          <w:rFonts w:ascii="Arial" w:hAnsi="Arial" w:cs="Arial"/>
          <w:sz w:val="24"/>
          <w:szCs w:val="24"/>
        </w:rPr>
        <w:t xml:space="preserve"> et al., </w:t>
      </w:r>
      <w:r w:rsidRPr="002A5AE2">
        <w:rPr>
          <w:rFonts w:ascii="Arial" w:hAnsi="Arial" w:cs="Arial"/>
          <w:sz w:val="24"/>
          <w:szCs w:val="24"/>
        </w:rPr>
        <w:lastRenderedPageBreak/>
        <w:t xml:space="preserve">2024; Khedr et al., 2024). Bhattacharya et al. (2024) link AI to traceability and waste reduction in closed-loop supply chains; </w:t>
      </w:r>
      <w:proofErr w:type="spellStart"/>
      <w:r w:rsidRPr="002A5AE2">
        <w:rPr>
          <w:rFonts w:ascii="Arial" w:hAnsi="Arial" w:cs="Arial"/>
          <w:sz w:val="24"/>
          <w:szCs w:val="24"/>
        </w:rPr>
        <w:t>Patalas</w:t>
      </w:r>
      <w:proofErr w:type="spellEnd"/>
      <w:r w:rsidRPr="002A5AE2">
        <w:rPr>
          <w:rFonts w:ascii="Arial" w:hAnsi="Arial" w:cs="Arial"/>
          <w:sz w:val="24"/>
          <w:szCs w:val="24"/>
        </w:rPr>
        <w:t xml:space="preserve">-Maliszewska et al. (2024) link it to lower emissions and better compliance with environmental standards; Samuels et al. (2025) highlight AI, blockchain and IoT as enablers of transparency. </w:t>
      </w:r>
      <w:proofErr w:type="spellStart"/>
      <w:r w:rsidRPr="002A5AE2">
        <w:rPr>
          <w:rFonts w:ascii="Arial" w:hAnsi="Arial" w:cs="Arial"/>
          <w:sz w:val="24"/>
          <w:szCs w:val="24"/>
        </w:rPr>
        <w:t>Gidiagba</w:t>
      </w:r>
      <w:proofErr w:type="spellEnd"/>
      <w:r w:rsidRPr="002A5AE2">
        <w:rPr>
          <w:rFonts w:ascii="Arial" w:hAnsi="Arial" w:cs="Arial"/>
          <w:sz w:val="24"/>
          <w:szCs w:val="24"/>
        </w:rPr>
        <w:t xml:space="preserve"> et al. (2025) find that ML improves sustainable supplier evaluation and reduces greenwashing risk, but only with quality data and external validation of certifications. Wu and Zuo (2023) and Badakhshan and Khosravi (2024) add empirical and hybrid simulation–ML applications. A recurring limitation across this stream is the scarcity of empirical applications in specific national sectors and in Latin America.</w:t>
      </w:r>
    </w:p>
    <w:p w14:paraId="4B29C644"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Stream 3 — Sustainability of paper products</w:t>
      </w:r>
    </w:p>
    <w:p w14:paraId="1CA8062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 xml:space="preserve">Meng et al. (2021) found up to 40% differences in carbon footprint across tissue production paths depending on fiber, bleaching and energy. A 2024 cradle-to-gate assessment reported 1,485–1,849 kg </w:t>
      </w:r>
      <w:proofErr w:type="spellStart"/>
      <w:r w:rsidRPr="002A5AE2">
        <w:rPr>
          <w:rFonts w:ascii="Arial" w:hAnsi="Arial" w:cs="Arial"/>
          <w:sz w:val="24"/>
          <w:szCs w:val="24"/>
        </w:rPr>
        <w:t>CO</w:t>
      </w:r>
      <w:r w:rsidRPr="002A5AE2">
        <w:rPr>
          <w:rFonts w:ascii="Cambria Math" w:hAnsi="Cambria Math" w:cs="Cambria Math"/>
          <w:sz w:val="24"/>
          <w:szCs w:val="24"/>
        </w:rPr>
        <w:t>₂</w:t>
      </w:r>
      <w:r w:rsidRPr="002A5AE2">
        <w:rPr>
          <w:rFonts w:ascii="Arial" w:hAnsi="Arial" w:cs="Arial"/>
          <w:sz w:val="24"/>
          <w:szCs w:val="24"/>
        </w:rPr>
        <w:t>eq</w:t>
      </w:r>
      <w:proofErr w:type="spellEnd"/>
      <w:r w:rsidRPr="002A5AE2">
        <w:rPr>
          <w:rFonts w:ascii="Arial" w:hAnsi="Arial" w:cs="Arial"/>
          <w:sz w:val="24"/>
          <w:szCs w:val="24"/>
        </w:rPr>
        <w:t xml:space="preserve"> per </w:t>
      </w:r>
      <w:proofErr w:type="spellStart"/>
      <w:r w:rsidRPr="002A5AE2">
        <w:rPr>
          <w:rFonts w:ascii="Arial" w:hAnsi="Arial" w:cs="Arial"/>
          <w:sz w:val="24"/>
          <w:szCs w:val="24"/>
        </w:rPr>
        <w:t>tonne</w:t>
      </w:r>
      <w:proofErr w:type="spellEnd"/>
      <w:r w:rsidRPr="002A5AE2">
        <w:rPr>
          <w:rFonts w:ascii="Arial" w:hAnsi="Arial" w:cs="Arial"/>
          <w:sz w:val="24"/>
          <w:szCs w:val="24"/>
        </w:rPr>
        <w:t xml:space="preserve"> of tissue and up to 20% reduction with bioenergy. Other studies call for a standardized carbon-footprint accounting method for paper (2023), integrate LCA with AHP to prioritize indicators (2021), and note heterogeneous system boundaries across 26 LCA studies (2025). Meng et al. (2024) connect circular-economy practices with low-carbon transitions in the pulp and paper industry. Certification and labeling standards (FSC, PEFC, ISO 14001, 14024, 14025, 14067) provide the verifiable criteria that this stream relies on.</w:t>
      </w:r>
    </w:p>
    <w:p w14:paraId="7501E6A1"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Research gap</w:t>
      </w:r>
    </w:p>
    <w:tbl>
      <w:tblPr>
        <w:tblStyle w:val="Tablaconcuadrcula"/>
        <w:tblW w:w="0" w:type="auto"/>
        <w:tblLayout w:type="fixed"/>
        <w:tblLook w:val="0420" w:firstRow="1" w:lastRow="0" w:firstColumn="0" w:lastColumn="0" w:noHBand="0" w:noVBand="1"/>
      </w:tblPr>
      <w:tblGrid>
        <w:gridCol w:w="3120"/>
        <w:gridCol w:w="3120"/>
        <w:gridCol w:w="3120"/>
      </w:tblGrid>
      <w:tr w:rsidR="00AF58BD" w:rsidRPr="002A5AE2" w14:paraId="5FD71C8D" w14:textId="77777777">
        <w:trPr>
          <w:tblHeader/>
        </w:trPr>
        <w:tc>
          <w:tcPr>
            <w:tcW w:w="3120" w:type="dxa"/>
            <w:shd w:val="clear" w:color="auto" w:fill="F2F2F2"/>
          </w:tcPr>
          <w:p w14:paraId="64F9991C"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Stream</w:t>
            </w:r>
          </w:p>
        </w:tc>
        <w:tc>
          <w:tcPr>
            <w:tcW w:w="3120" w:type="dxa"/>
            <w:shd w:val="clear" w:color="auto" w:fill="F2F2F2"/>
          </w:tcPr>
          <w:p w14:paraId="5673B34B"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What it offers this study</w:t>
            </w:r>
          </w:p>
        </w:tc>
        <w:tc>
          <w:tcPr>
            <w:tcW w:w="3120" w:type="dxa"/>
            <w:shd w:val="clear" w:color="auto" w:fill="F2F2F2"/>
          </w:tcPr>
          <w:p w14:paraId="2FB22235"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What it leaves open</w:t>
            </w:r>
          </w:p>
        </w:tc>
      </w:tr>
      <w:tr w:rsidR="00AF58BD" w:rsidRPr="002A5AE2" w14:paraId="6A465760" w14:textId="77777777">
        <w:tc>
          <w:tcPr>
            <w:tcW w:w="3120" w:type="dxa"/>
          </w:tcPr>
          <w:p w14:paraId="5A6F2A22"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ML in trade and customs</w:t>
            </w:r>
          </w:p>
        </w:tc>
        <w:tc>
          <w:tcPr>
            <w:tcW w:w="3120" w:type="dxa"/>
          </w:tcPr>
          <w:p w14:paraId="75B03D2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 xml:space="preserve">Evidence that customs data </w:t>
            </w:r>
            <w:proofErr w:type="gramStart"/>
            <w:r w:rsidRPr="002A5AE2">
              <w:rPr>
                <w:rFonts w:ascii="Arial" w:hAnsi="Arial" w:cs="Arial"/>
                <w:sz w:val="24"/>
                <w:szCs w:val="24"/>
              </w:rPr>
              <w:t>support</w:t>
            </w:r>
            <w:proofErr w:type="gramEnd"/>
            <w:r w:rsidRPr="002A5AE2">
              <w:rPr>
                <w:rFonts w:ascii="Arial" w:hAnsi="Arial" w:cs="Arial"/>
                <w:sz w:val="24"/>
                <w:szCs w:val="24"/>
              </w:rPr>
              <w:t xml:space="preserve"> ML pattern detection</w:t>
            </w:r>
          </w:p>
        </w:tc>
        <w:tc>
          <w:tcPr>
            <w:tcW w:w="3120" w:type="dxa"/>
          </w:tcPr>
          <w:p w14:paraId="0527FDF5"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No sustainability dimension</w:t>
            </w:r>
          </w:p>
        </w:tc>
      </w:tr>
      <w:tr w:rsidR="00AF58BD" w:rsidRPr="002A5AE2" w14:paraId="3CE0B24E" w14:textId="77777777">
        <w:tc>
          <w:tcPr>
            <w:tcW w:w="3120" w:type="dxa"/>
          </w:tcPr>
          <w:p w14:paraId="2792E0A2"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AI in sustainable supply chains</w:t>
            </w:r>
          </w:p>
        </w:tc>
        <w:tc>
          <w:tcPr>
            <w:tcW w:w="3120" w:type="dxa"/>
          </w:tcPr>
          <w:p w14:paraId="48C069C3"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Algorithms, supplier-selection logic, greenwashing risk</w:t>
            </w:r>
          </w:p>
        </w:tc>
        <w:tc>
          <w:tcPr>
            <w:tcW w:w="3120" w:type="dxa"/>
          </w:tcPr>
          <w:p w14:paraId="18A63F8D"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Few sector- and country-specific empirical cases; data quality</w:t>
            </w:r>
          </w:p>
        </w:tc>
      </w:tr>
      <w:tr w:rsidR="00AF58BD" w:rsidRPr="002A5AE2" w14:paraId="7856BA44" w14:textId="77777777">
        <w:tc>
          <w:tcPr>
            <w:tcW w:w="3120" w:type="dxa"/>
          </w:tcPr>
          <w:p w14:paraId="13252904"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Paper-product sustainability</w:t>
            </w:r>
          </w:p>
        </w:tc>
        <w:tc>
          <w:tcPr>
            <w:tcW w:w="3120" w:type="dxa"/>
          </w:tcPr>
          <w:p w14:paraId="13A3274B"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Criteria: fiber, certification, bleaching, carbon footprint</w:t>
            </w:r>
          </w:p>
        </w:tc>
        <w:tc>
          <w:tcPr>
            <w:tcW w:w="3120" w:type="dxa"/>
          </w:tcPr>
          <w:p w14:paraId="75271B7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Focus on production, not on international trade flows</w:t>
            </w:r>
          </w:p>
        </w:tc>
      </w:tr>
    </w:tbl>
    <w:p w14:paraId="3234A888" w14:textId="77777777" w:rsidR="00AF58BD" w:rsidRPr="002A5AE2" w:rsidRDefault="00000000" w:rsidP="002A5AE2">
      <w:pPr>
        <w:jc w:val="both"/>
        <w:rPr>
          <w:rFonts w:ascii="Arial" w:hAnsi="Arial" w:cs="Arial"/>
          <w:sz w:val="24"/>
          <w:szCs w:val="24"/>
        </w:rPr>
      </w:pPr>
      <w:r>
        <w:rPr>
          <w:rFonts w:ascii="Arial" w:hAnsi="Arial" w:cs="Arial"/>
          <w:sz w:val="24"/>
          <w:szCs w:val="24"/>
        </w:rPr>
        <w:t>No study found operationalizes "sustainable import" from customs records of paper products, and none tests which customs variables predict sustainable imports in an importing country. This study addresses both gaps for Peru, 2020–2025.</w:t>
      </w:r>
    </w:p>
    <w:p w14:paraId="29323D8D" w14:textId="77777777" w:rsidR="00AF58BD" w:rsidRPr="002A5AE2" w:rsidRDefault="00000000" w:rsidP="002A5AE2">
      <w:pPr>
        <w:jc w:val="both"/>
        <w:rPr>
          <w:rFonts w:ascii="Arial" w:hAnsi="Arial" w:cs="Arial"/>
          <w:sz w:val="24"/>
          <w:szCs w:val="24"/>
        </w:rPr>
      </w:pPr>
      <w:r>
        <w:rPr>
          <w:rFonts w:ascii="Arial" w:hAnsi="Arial" w:cs="Arial"/>
          <w:b/>
          <w:sz w:val="24"/>
          <w:szCs w:val="24"/>
        </w:rPr>
        <w:t>Note for the next revision:</w:t>
      </w:r>
      <w:r>
        <w:rPr>
          <w:rFonts w:ascii="Arial" w:hAnsi="Arial" w:cs="Arial"/>
          <w:sz w:val="24"/>
          <w:szCs w:val="24"/>
        </w:rPr>
        <w:t xml:space="preserve"> following the midterm feedback, the search will be extended to Web of Science, and the reason for every excluded record will be reported (Deliverable 4).</w:t>
      </w:r>
    </w:p>
    <w:p w14:paraId="07702364" w14:textId="77777777" w:rsidR="00AF58BD" w:rsidRPr="002A5AE2" w:rsidRDefault="00000000" w:rsidP="002A5AE2">
      <w:pPr>
        <w:pStyle w:val="Ttulo2"/>
        <w:jc w:val="both"/>
        <w:rPr>
          <w:rFonts w:ascii="Arial" w:hAnsi="Arial" w:cs="Arial"/>
          <w:sz w:val="24"/>
          <w:szCs w:val="24"/>
        </w:rPr>
      </w:pPr>
      <w:r w:rsidRPr="002A5AE2">
        <w:rPr>
          <w:rFonts w:ascii="Arial" w:hAnsi="Arial" w:cs="Arial"/>
          <w:sz w:val="24"/>
          <w:szCs w:val="24"/>
        </w:rPr>
        <w:lastRenderedPageBreak/>
        <w:t>05 · Research Questions / Hypotheses</w:t>
      </w:r>
    </w:p>
    <w:p w14:paraId="740A6CA5" w14:textId="77777777" w:rsidR="00AF58BD" w:rsidRPr="002A5AE2" w:rsidRDefault="00000000" w:rsidP="002A5AE2">
      <w:pPr>
        <w:jc w:val="both"/>
        <w:rPr>
          <w:rFonts w:ascii="Arial" w:hAnsi="Arial" w:cs="Arial"/>
          <w:sz w:val="24"/>
          <w:szCs w:val="24"/>
        </w:rPr>
      </w:pPr>
      <w:r>
        <w:rPr>
          <w:rFonts w:ascii="Arial" w:hAnsi="Arial" w:cs="Arial"/>
          <w:b/>
          <w:sz w:val="24"/>
          <w:szCs w:val="24"/>
        </w:rPr>
        <w:t>Central question.</w:t>
      </w:r>
      <w:r>
        <w:rPr>
          <w:rFonts w:ascii="Arial" w:hAnsi="Arial" w:cs="Arial"/>
          <w:sz w:val="24"/>
          <w:szCs w:val="24"/>
        </w:rPr>
        <w:t xml:space="preserve"> Which sustainable import patterns characterize Peru's imports of tissue parent rolls for local conversion between 2020 and 2025, and which customs variables predict proxy-indicated sustainable imports?</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AF58BD" w:rsidRPr="002A5AE2" w14:paraId="2BAE8C29" w14:textId="77777777">
        <w:trPr>
          <w:tblHeader/>
        </w:trPr>
        <w:tc>
          <w:tcPr>
            <w:tcW w:w="2340" w:type="dxa"/>
            <w:shd w:val="clear" w:color="auto" w:fill="F2F2F2"/>
          </w:tcPr>
          <w:p w14:paraId="4EF6F46B" w14:textId="77777777" w:rsidR="00AF58BD" w:rsidRPr="002A5AE2" w:rsidRDefault="00000000" w:rsidP="002A5AE2">
            <w:pPr>
              <w:jc w:val="both"/>
              <w:rPr>
                <w:rFonts w:ascii="Arial" w:hAnsi="Arial" w:cs="Arial"/>
                <w:sz w:val="24"/>
                <w:szCs w:val="24"/>
              </w:rPr>
            </w:pPr>
            <w:r>
              <w:rPr>
                <w:rFonts w:ascii="Arial" w:hAnsi="Arial" w:cs="Arial"/>
                <w:b/>
                <w:sz w:val="24"/>
                <w:szCs w:val="24"/>
              </w:rPr>
              <w:t>#</w:t>
            </w:r>
          </w:p>
        </w:tc>
        <w:tc>
          <w:tcPr>
            <w:tcW w:w="2340" w:type="dxa"/>
            <w:shd w:val="clear" w:color="auto" w:fill="F2F2F2"/>
          </w:tcPr>
          <w:p w14:paraId="730B9E16" w14:textId="77777777" w:rsidR="00AF58BD" w:rsidRPr="002A5AE2" w:rsidRDefault="00000000" w:rsidP="002A5AE2">
            <w:pPr>
              <w:jc w:val="both"/>
              <w:rPr>
                <w:rFonts w:ascii="Arial" w:hAnsi="Arial" w:cs="Arial"/>
                <w:sz w:val="24"/>
                <w:szCs w:val="24"/>
              </w:rPr>
            </w:pPr>
            <w:r>
              <w:rPr>
                <w:rFonts w:ascii="Arial" w:hAnsi="Arial" w:cs="Arial"/>
                <w:b/>
                <w:sz w:val="24"/>
                <w:szCs w:val="24"/>
              </w:rPr>
              <w:t>Sub-question</w:t>
            </w:r>
          </w:p>
        </w:tc>
        <w:tc>
          <w:tcPr>
            <w:tcW w:w="2340" w:type="dxa"/>
            <w:shd w:val="clear" w:color="auto" w:fill="F2F2F2"/>
          </w:tcPr>
          <w:p w14:paraId="1FBC9D71" w14:textId="77777777" w:rsidR="00AF58BD" w:rsidRPr="002A5AE2" w:rsidRDefault="00000000" w:rsidP="002A5AE2">
            <w:pPr>
              <w:jc w:val="both"/>
              <w:rPr>
                <w:rFonts w:ascii="Arial" w:hAnsi="Arial" w:cs="Arial"/>
                <w:sz w:val="24"/>
                <w:szCs w:val="24"/>
              </w:rPr>
            </w:pPr>
            <w:r>
              <w:rPr>
                <w:rFonts w:ascii="Arial" w:hAnsi="Arial" w:cs="Arial"/>
                <w:b/>
                <w:sz w:val="24"/>
                <w:szCs w:val="24"/>
              </w:rPr>
              <w:t>Type</w:t>
            </w:r>
          </w:p>
        </w:tc>
        <w:tc>
          <w:tcPr>
            <w:tcW w:w="2340" w:type="dxa"/>
            <w:shd w:val="clear" w:color="auto" w:fill="F2F2F2"/>
          </w:tcPr>
          <w:p w14:paraId="21F0BDD0" w14:textId="77777777" w:rsidR="00AF58BD" w:rsidRPr="002A5AE2" w:rsidRDefault="00000000" w:rsidP="002A5AE2">
            <w:pPr>
              <w:jc w:val="both"/>
              <w:rPr>
                <w:rFonts w:ascii="Arial" w:hAnsi="Arial" w:cs="Arial"/>
                <w:sz w:val="24"/>
                <w:szCs w:val="24"/>
              </w:rPr>
            </w:pPr>
            <w:r>
              <w:rPr>
                <w:rFonts w:ascii="Arial" w:hAnsi="Arial" w:cs="Arial"/>
                <w:b/>
                <w:sz w:val="24"/>
                <w:szCs w:val="24"/>
              </w:rPr>
              <w:t>Method</w:t>
            </w:r>
          </w:p>
        </w:tc>
      </w:tr>
      <w:tr w:rsidR="00AF58BD" w:rsidRPr="002A5AE2" w14:paraId="089B9E1F" w14:textId="77777777">
        <w:tc>
          <w:tcPr>
            <w:tcW w:w="2340" w:type="dxa"/>
          </w:tcPr>
          <w:p w14:paraId="6243D231" w14:textId="77777777" w:rsidR="00AF58BD" w:rsidRPr="002A5AE2" w:rsidRDefault="00000000" w:rsidP="002A5AE2">
            <w:pPr>
              <w:jc w:val="both"/>
              <w:rPr>
                <w:rFonts w:ascii="Arial" w:hAnsi="Arial" w:cs="Arial"/>
                <w:sz w:val="24"/>
                <w:szCs w:val="24"/>
              </w:rPr>
            </w:pPr>
            <w:r>
              <w:rPr>
                <w:rFonts w:ascii="Arial" w:hAnsi="Arial" w:cs="Arial"/>
                <w:sz w:val="24"/>
                <w:szCs w:val="24"/>
              </w:rPr>
              <w:t>RQ1</w:t>
            </w:r>
          </w:p>
        </w:tc>
        <w:tc>
          <w:tcPr>
            <w:tcW w:w="2340" w:type="dxa"/>
          </w:tcPr>
          <w:p w14:paraId="5EE37EB6" w14:textId="77777777" w:rsidR="00AF58BD" w:rsidRPr="002A5AE2" w:rsidRDefault="00000000" w:rsidP="002A5AE2">
            <w:pPr>
              <w:jc w:val="both"/>
              <w:rPr>
                <w:rFonts w:ascii="Arial" w:hAnsi="Arial" w:cs="Arial"/>
                <w:sz w:val="24"/>
                <w:szCs w:val="24"/>
              </w:rPr>
            </w:pPr>
            <w:r>
              <w:rPr>
                <w:rFonts w:ascii="Arial" w:hAnsi="Arial" w:cs="Arial"/>
                <w:sz w:val="24"/>
                <w:szCs w:val="24"/>
              </w:rPr>
              <w:t>What distinct import profiles exist in parent-roll imports once data-quality anomalies are removed?</w:t>
            </w:r>
          </w:p>
        </w:tc>
        <w:tc>
          <w:tcPr>
            <w:tcW w:w="2340" w:type="dxa"/>
          </w:tcPr>
          <w:p w14:paraId="5880EEF2" w14:textId="77777777" w:rsidR="00AF58BD" w:rsidRPr="002A5AE2" w:rsidRDefault="00000000" w:rsidP="002A5AE2">
            <w:pPr>
              <w:jc w:val="both"/>
              <w:rPr>
                <w:rFonts w:ascii="Arial" w:hAnsi="Arial" w:cs="Arial"/>
                <w:sz w:val="24"/>
                <w:szCs w:val="24"/>
              </w:rPr>
            </w:pPr>
            <w:r>
              <w:rPr>
                <w:rFonts w:ascii="Arial" w:hAnsi="Arial" w:cs="Arial"/>
                <w:sz w:val="24"/>
                <w:szCs w:val="24"/>
              </w:rPr>
              <w:t>Descriptive (unsupervised)</w:t>
            </w:r>
          </w:p>
        </w:tc>
        <w:tc>
          <w:tcPr>
            <w:tcW w:w="2340" w:type="dxa"/>
          </w:tcPr>
          <w:p w14:paraId="655BAA28" w14:textId="77777777" w:rsidR="00AF58BD" w:rsidRPr="002A5AE2" w:rsidRDefault="00000000" w:rsidP="002A5AE2">
            <w:pPr>
              <w:jc w:val="both"/>
              <w:rPr>
                <w:rFonts w:ascii="Arial" w:hAnsi="Arial" w:cs="Arial"/>
                <w:sz w:val="24"/>
                <w:szCs w:val="24"/>
              </w:rPr>
            </w:pPr>
            <w:r>
              <w:rPr>
                <w:rFonts w:ascii="Arial" w:hAnsi="Arial" w:cs="Arial"/>
                <w:sz w:val="24"/>
                <w:szCs w:val="24"/>
              </w:rPr>
              <w:t>Isolation Forest → K-Means</w:t>
            </w:r>
          </w:p>
        </w:tc>
      </w:tr>
      <w:tr w:rsidR="00AF58BD" w:rsidRPr="002A5AE2" w14:paraId="4A52B447" w14:textId="77777777">
        <w:tc>
          <w:tcPr>
            <w:tcW w:w="2340" w:type="dxa"/>
          </w:tcPr>
          <w:p w14:paraId="550DB9B7" w14:textId="77777777" w:rsidR="00AF58BD" w:rsidRPr="002A5AE2" w:rsidRDefault="00000000" w:rsidP="002A5AE2">
            <w:pPr>
              <w:jc w:val="both"/>
              <w:rPr>
                <w:rFonts w:ascii="Arial" w:hAnsi="Arial" w:cs="Arial"/>
                <w:sz w:val="24"/>
                <w:szCs w:val="24"/>
              </w:rPr>
            </w:pPr>
            <w:r>
              <w:rPr>
                <w:rFonts w:ascii="Arial" w:hAnsi="Arial" w:cs="Arial"/>
                <w:sz w:val="24"/>
                <w:szCs w:val="24"/>
              </w:rPr>
              <w:t>RQ2</w:t>
            </w:r>
          </w:p>
        </w:tc>
        <w:tc>
          <w:tcPr>
            <w:tcW w:w="2340" w:type="dxa"/>
          </w:tcPr>
          <w:p w14:paraId="0A9A9300" w14:textId="77777777" w:rsidR="00AF58BD" w:rsidRPr="002A5AE2" w:rsidRDefault="00000000" w:rsidP="002A5AE2">
            <w:pPr>
              <w:jc w:val="both"/>
              <w:rPr>
                <w:rFonts w:ascii="Arial" w:hAnsi="Arial" w:cs="Arial"/>
                <w:sz w:val="24"/>
                <w:szCs w:val="24"/>
              </w:rPr>
            </w:pPr>
            <w:r>
              <w:rPr>
                <w:rFonts w:ascii="Arial" w:hAnsi="Arial" w:cs="Arial"/>
                <w:sz w:val="24"/>
                <w:szCs w:val="24"/>
              </w:rPr>
              <w:t>Which structured customs variables (tariff subheading, origin, supplier, unit value, volume, frequency) best predict the proxy-based sustainability label?</w:t>
            </w:r>
          </w:p>
        </w:tc>
        <w:tc>
          <w:tcPr>
            <w:tcW w:w="2340" w:type="dxa"/>
          </w:tcPr>
          <w:p w14:paraId="67062198" w14:textId="77777777" w:rsidR="00AF58BD" w:rsidRPr="002A5AE2" w:rsidRDefault="00000000" w:rsidP="002A5AE2">
            <w:pPr>
              <w:jc w:val="both"/>
              <w:rPr>
                <w:rFonts w:ascii="Arial" w:hAnsi="Arial" w:cs="Arial"/>
                <w:sz w:val="24"/>
                <w:szCs w:val="24"/>
              </w:rPr>
            </w:pPr>
            <w:r>
              <w:rPr>
                <w:rFonts w:ascii="Arial" w:hAnsi="Arial" w:cs="Arial"/>
                <w:sz w:val="24"/>
                <w:szCs w:val="24"/>
              </w:rPr>
              <w:t>Predictive (supervised)</w:t>
            </w:r>
          </w:p>
        </w:tc>
        <w:tc>
          <w:tcPr>
            <w:tcW w:w="2340" w:type="dxa"/>
          </w:tcPr>
          <w:p w14:paraId="71439FB4" w14:textId="77777777" w:rsidR="00AF58BD" w:rsidRPr="002A5AE2" w:rsidRDefault="00000000" w:rsidP="002A5AE2">
            <w:pPr>
              <w:jc w:val="both"/>
              <w:rPr>
                <w:rFonts w:ascii="Arial" w:hAnsi="Arial" w:cs="Arial"/>
                <w:sz w:val="24"/>
                <w:szCs w:val="24"/>
              </w:rPr>
            </w:pPr>
            <w:r>
              <w:rPr>
                <w:rFonts w:ascii="Arial" w:hAnsi="Arial" w:cs="Arial"/>
                <w:sz w:val="24"/>
                <w:szCs w:val="24"/>
              </w:rPr>
              <w:t>XGBoost + SHAP vs. baselines</w:t>
            </w:r>
          </w:p>
        </w:tc>
      </w:tr>
      <w:tr w:rsidR="00AF58BD" w:rsidRPr="002A5AE2" w14:paraId="516D2B1C" w14:textId="77777777">
        <w:tc>
          <w:tcPr>
            <w:tcW w:w="2340" w:type="dxa"/>
          </w:tcPr>
          <w:p w14:paraId="61DAD33E" w14:textId="77777777" w:rsidR="00AF58BD" w:rsidRPr="002A5AE2" w:rsidRDefault="00000000" w:rsidP="002A5AE2">
            <w:pPr>
              <w:jc w:val="both"/>
              <w:rPr>
                <w:rFonts w:ascii="Arial" w:hAnsi="Arial" w:cs="Arial"/>
                <w:sz w:val="24"/>
                <w:szCs w:val="24"/>
              </w:rPr>
            </w:pPr>
            <w:r>
              <w:rPr>
                <w:rFonts w:ascii="Arial" w:hAnsi="Arial" w:cs="Arial"/>
                <w:sz w:val="24"/>
                <w:szCs w:val="24"/>
              </w:rPr>
              <w:t>RQ3</w:t>
            </w:r>
          </w:p>
        </w:tc>
        <w:tc>
          <w:tcPr>
            <w:tcW w:w="2340" w:type="dxa"/>
          </w:tcPr>
          <w:p w14:paraId="22E6EE5B" w14:textId="77777777" w:rsidR="00AF58BD" w:rsidRPr="002A5AE2" w:rsidRDefault="00000000" w:rsidP="002A5AE2">
            <w:pPr>
              <w:jc w:val="both"/>
              <w:rPr>
                <w:rFonts w:ascii="Arial" w:hAnsi="Arial" w:cs="Arial"/>
                <w:sz w:val="24"/>
                <w:szCs w:val="24"/>
              </w:rPr>
            </w:pPr>
            <w:r>
              <w:rPr>
                <w:rFonts w:ascii="Arial" w:hAnsi="Arial" w:cs="Arial"/>
                <w:sz w:val="24"/>
                <w:szCs w:val="24"/>
              </w:rPr>
              <w:t>How did the share of proxy-indicated sustainable imports change between 2020 and 2025?</w:t>
            </w:r>
          </w:p>
        </w:tc>
        <w:tc>
          <w:tcPr>
            <w:tcW w:w="2340" w:type="dxa"/>
          </w:tcPr>
          <w:p w14:paraId="1052E411" w14:textId="77777777" w:rsidR="00AF58BD" w:rsidRPr="002A5AE2" w:rsidRDefault="00000000" w:rsidP="002A5AE2">
            <w:pPr>
              <w:jc w:val="both"/>
              <w:rPr>
                <w:rFonts w:ascii="Arial" w:hAnsi="Arial" w:cs="Arial"/>
                <w:sz w:val="24"/>
                <w:szCs w:val="24"/>
              </w:rPr>
            </w:pPr>
            <w:r>
              <w:rPr>
                <w:rFonts w:ascii="Arial" w:hAnsi="Arial" w:cs="Arial"/>
                <w:sz w:val="24"/>
                <w:szCs w:val="24"/>
              </w:rPr>
              <w:t>Temporal (statistical test)</w:t>
            </w:r>
          </w:p>
        </w:tc>
        <w:tc>
          <w:tcPr>
            <w:tcW w:w="2340" w:type="dxa"/>
          </w:tcPr>
          <w:p w14:paraId="57040CD5" w14:textId="77777777" w:rsidR="00AF58BD" w:rsidRPr="002A5AE2" w:rsidRDefault="00000000" w:rsidP="002A5AE2">
            <w:pPr>
              <w:jc w:val="both"/>
              <w:rPr>
                <w:rFonts w:ascii="Arial" w:hAnsi="Arial" w:cs="Arial"/>
                <w:sz w:val="24"/>
                <w:szCs w:val="24"/>
              </w:rPr>
            </w:pPr>
            <w:r>
              <w:rPr>
                <w:rFonts w:ascii="Arial" w:hAnsi="Arial" w:cs="Arial"/>
                <w:sz w:val="24"/>
                <w:szCs w:val="24"/>
              </w:rPr>
              <w:t>Proportion and trend tests</w:t>
            </w:r>
          </w:p>
        </w:tc>
      </w:tr>
    </w:tbl>
    <w:p w14:paraId="2343DB41" w14:textId="77777777" w:rsidR="00AF58BD" w:rsidRPr="002A5AE2" w:rsidRDefault="00000000" w:rsidP="002A5AE2">
      <w:pPr>
        <w:pStyle w:val="Ttulo3"/>
        <w:jc w:val="both"/>
        <w:rPr>
          <w:rFonts w:ascii="Arial" w:hAnsi="Arial" w:cs="Arial"/>
          <w:szCs w:val="24"/>
        </w:rPr>
      </w:pPr>
      <w:r>
        <w:rPr>
          <w:rFonts w:ascii="Arial" w:hAnsi="Arial" w:cs="Arial"/>
          <w:szCs w:val="24"/>
        </w:rPr>
        <w:t>Hypotheses</w:t>
      </w:r>
    </w:p>
    <w:p w14:paraId="7D3F1896" w14:textId="77777777" w:rsidR="00AF58BD" w:rsidRPr="002A5AE2" w:rsidRDefault="00000000" w:rsidP="002A5AE2">
      <w:pPr>
        <w:jc w:val="both"/>
        <w:rPr>
          <w:rFonts w:ascii="Arial" w:hAnsi="Arial" w:cs="Arial"/>
          <w:sz w:val="24"/>
          <w:szCs w:val="24"/>
        </w:rPr>
      </w:pPr>
      <w:r>
        <w:rPr>
          <w:rFonts w:ascii="Arial" w:hAnsi="Arial" w:cs="Arial"/>
          <w:sz w:val="24"/>
          <w:szCs w:val="24"/>
        </w:rPr>
        <w:t>All hypotheses are tested on the real import records:</w:t>
      </w:r>
    </w:p>
    <w:p w14:paraId="789F39BC" w14:textId="77777777" w:rsidR="00AF58BD" w:rsidRPr="002A5AE2" w:rsidRDefault="00000000" w:rsidP="002A5AE2">
      <w:pPr>
        <w:pStyle w:val="Prrafodelista"/>
        <w:numPr>
          <w:ilvl w:val="0"/>
          <w:numId w:val="4"/>
        </w:numPr>
        <w:jc w:val="both"/>
        <w:rPr>
          <w:rFonts w:ascii="Arial" w:hAnsi="Arial" w:cs="Arial"/>
          <w:sz w:val="24"/>
          <w:szCs w:val="24"/>
        </w:rPr>
      </w:pPr>
      <w:r>
        <w:rPr>
          <w:rFonts w:ascii="Arial" w:hAnsi="Arial" w:cs="Arial"/>
          <w:b/>
          <w:sz w:val="24"/>
          <w:szCs w:val="24"/>
        </w:rPr>
        <w:t>H1.</w:t>
      </w:r>
      <w:r>
        <w:rPr>
          <w:rFonts w:ascii="Arial" w:hAnsi="Arial" w:cs="Arial"/>
          <w:sz w:val="24"/>
          <w:szCs w:val="24"/>
        </w:rPr>
        <w:t xml:space="preserve"> Parent-roll imports form at least two distinguishable profiles that differ in their share of proxy-indicated sustainable records.</w:t>
      </w:r>
    </w:p>
    <w:p w14:paraId="0F76DC42" w14:textId="77777777" w:rsidR="00AF58BD" w:rsidRPr="002A5AE2" w:rsidRDefault="00000000" w:rsidP="002A5AE2">
      <w:pPr>
        <w:pStyle w:val="Prrafodelista"/>
        <w:numPr>
          <w:ilvl w:val="0"/>
          <w:numId w:val="4"/>
        </w:numPr>
        <w:jc w:val="both"/>
        <w:rPr>
          <w:rFonts w:ascii="Arial" w:hAnsi="Arial" w:cs="Arial"/>
          <w:sz w:val="24"/>
          <w:szCs w:val="24"/>
        </w:rPr>
      </w:pPr>
      <w:r w:rsidRPr="002A5AE2">
        <w:rPr>
          <w:rFonts w:ascii="Arial" w:hAnsi="Arial" w:cs="Arial"/>
          <w:b/>
          <w:sz w:val="24"/>
          <w:szCs w:val="24"/>
        </w:rPr>
        <w:t>H2.</w:t>
      </w:r>
      <w:r w:rsidRPr="002A5AE2">
        <w:rPr>
          <w:rFonts w:ascii="Arial" w:hAnsi="Arial" w:cs="Arial"/>
          <w:sz w:val="24"/>
          <w:szCs w:val="24"/>
        </w:rPr>
        <w:t xml:space="preserve"> Structured customs fields alone predict the proxy-based label better than a majority-class baseline and a logistic-regression baseline (compared on F1 and PR-AUC under cross-validation).</w:t>
      </w:r>
    </w:p>
    <w:p w14:paraId="5DEC864C" w14:textId="77777777" w:rsidR="00AF58BD" w:rsidRPr="002A5AE2" w:rsidRDefault="00000000" w:rsidP="002A5AE2">
      <w:pPr>
        <w:pStyle w:val="Prrafodelista"/>
        <w:numPr>
          <w:ilvl w:val="0"/>
          <w:numId w:val="4"/>
        </w:numPr>
        <w:jc w:val="both"/>
        <w:rPr>
          <w:rFonts w:ascii="Arial" w:hAnsi="Arial" w:cs="Arial"/>
          <w:sz w:val="24"/>
          <w:szCs w:val="24"/>
        </w:rPr>
      </w:pPr>
      <w:r w:rsidRPr="002A5AE2">
        <w:rPr>
          <w:rFonts w:ascii="Arial" w:hAnsi="Arial" w:cs="Arial"/>
          <w:b/>
          <w:sz w:val="24"/>
          <w:szCs w:val="24"/>
        </w:rPr>
        <w:t>H3.</w:t>
      </w:r>
      <w:r w:rsidRPr="002A5AE2">
        <w:rPr>
          <w:rFonts w:ascii="Arial" w:hAnsi="Arial" w:cs="Arial"/>
          <w:sz w:val="24"/>
          <w:szCs w:val="24"/>
        </w:rPr>
        <w:t xml:space="preserve"> Country of origin and tariff subheading are among the variables with the highest mean SHAP contribution to the label.</w:t>
      </w:r>
    </w:p>
    <w:p w14:paraId="55E905E6" w14:textId="77777777" w:rsidR="00AF58BD" w:rsidRPr="002A5AE2" w:rsidRDefault="00000000" w:rsidP="002A5AE2">
      <w:pPr>
        <w:pStyle w:val="Prrafodelista"/>
        <w:numPr>
          <w:ilvl w:val="0"/>
          <w:numId w:val="4"/>
        </w:numPr>
        <w:jc w:val="both"/>
        <w:rPr>
          <w:rFonts w:ascii="Arial" w:hAnsi="Arial" w:cs="Arial"/>
          <w:sz w:val="24"/>
          <w:szCs w:val="24"/>
        </w:rPr>
      </w:pPr>
      <w:r w:rsidRPr="002A5AE2">
        <w:rPr>
          <w:rFonts w:ascii="Arial" w:hAnsi="Arial" w:cs="Arial"/>
          <w:b/>
          <w:sz w:val="24"/>
          <w:szCs w:val="24"/>
        </w:rPr>
        <w:t>H4.</w:t>
      </w:r>
      <w:r w:rsidRPr="002A5AE2">
        <w:rPr>
          <w:rFonts w:ascii="Arial" w:hAnsi="Arial" w:cs="Arial"/>
          <w:sz w:val="24"/>
          <w:szCs w:val="24"/>
        </w:rPr>
        <w:t xml:space="preserve"> Proxy-indicated sustainable imports have a higher unit value (US$/kg) than conventional imports of the same subheading.</w:t>
      </w:r>
    </w:p>
    <w:p w14:paraId="55E905E6" w14:textId="77777777" w:rsidR="00AF58BD" w:rsidRPr="002A5AE2" w:rsidRDefault="00000000" w:rsidP="002A5AE2">
      <w:pPr>
        <w:pStyle w:val="Prrafodelista"/>
        <w:numPr>
          <w:ilvl w:val="0"/>
          <w:numId w:val="4"/>
        </w:numPr>
        <w:jc w:val="both"/>
        <w:rPr>
          <w:rFonts w:ascii="Arial" w:hAnsi="Arial" w:cs="Arial"/>
          <w:sz w:val="24"/>
          <w:szCs w:val="24"/>
        </w:rPr>
      </w:pPr>
      <w:r>
        <w:rPr>
          <w:rFonts w:ascii="Arial" w:hAnsi="Arial" w:cs="Arial"/>
          <w:b/>
          <w:sz w:val="24"/>
          <w:szCs w:val="24"/>
        </w:rPr>
        <w:t>H5.</w:t>
      </w:r>
      <w:r>
        <w:rPr>
          <w:rFonts w:ascii="Arial" w:hAnsi="Arial" w:cs="Arial"/>
          <w:sz w:val="24"/>
          <w:szCs w:val="24"/>
        </w:rPr>
        <w:t xml:space="preserve"> The share of proxy-indicated sustainable imports is higher in 2024–2025 than in 2020–2021.</w:t>
      </w:r>
    </w:p>
    <w:p w14:paraId="67941ECC"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Numeric thresholds (e.g., minimum acceptable F1, silhouette score) will be fixed in the analysis plan before modeling, to avoid adjusting them to the results.</w:t>
      </w:r>
    </w:p>
    <w:p w14:paraId="386E5492" w14:textId="77777777" w:rsidR="00AF58BD" w:rsidRPr="002A5AE2" w:rsidRDefault="00000000" w:rsidP="002A5AE2">
      <w:pPr>
        <w:pStyle w:val="Ttulo2"/>
        <w:jc w:val="both"/>
        <w:rPr>
          <w:rFonts w:ascii="Arial" w:hAnsi="Arial" w:cs="Arial"/>
          <w:sz w:val="24"/>
          <w:szCs w:val="24"/>
        </w:rPr>
      </w:pPr>
      <w:r w:rsidRPr="002A5AE2">
        <w:rPr>
          <w:rFonts w:ascii="Arial" w:hAnsi="Arial" w:cs="Arial"/>
          <w:sz w:val="24"/>
          <w:szCs w:val="24"/>
        </w:rPr>
        <w:t>06 · Methodology</w:t>
      </w:r>
    </w:p>
    <w:p w14:paraId="7BAF446B" w14:textId="77777777" w:rsidR="00AF58BD" w:rsidRPr="002A5AE2" w:rsidRDefault="00000000" w:rsidP="002A5AE2">
      <w:pPr>
        <w:pStyle w:val="Ttulo3"/>
        <w:jc w:val="both"/>
        <w:rPr>
          <w:rFonts w:ascii="Arial" w:hAnsi="Arial" w:cs="Arial"/>
          <w:szCs w:val="24"/>
        </w:rPr>
      </w:pPr>
      <w:r>
        <w:rPr>
          <w:rFonts w:ascii="Arial" w:hAnsi="Arial" w:cs="Arial"/>
          <w:szCs w:val="24"/>
        </w:rPr>
        <w:t>Paradigm and design</w:t>
      </w:r>
    </w:p>
    <w:p w14:paraId="0DE0C5D8" w14:textId="77777777" w:rsidR="00AF58BD" w:rsidRPr="002A5AE2" w:rsidRDefault="00000000" w:rsidP="002A5AE2">
      <w:pPr>
        <w:pStyle w:val="Prrafodelista"/>
        <w:numPr>
          <w:ilvl w:val="0"/>
          <w:numId w:val="5"/>
        </w:numPr>
        <w:jc w:val="both"/>
        <w:rPr>
          <w:rFonts w:ascii="Arial" w:hAnsi="Arial" w:cs="Arial"/>
          <w:sz w:val="24"/>
          <w:szCs w:val="24"/>
        </w:rPr>
      </w:pPr>
      <w:r>
        <w:rPr>
          <w:rFonts w:ascii="Arial" w:hAnsi="Arial" w:cs="Arial"/>
          <w:b/>
          <w:sz w:val="24"/>
          <w:szCs w:val="24"/>
        </w:rPr>
        <w:t>Paradigm: Positivist.</w:t>
      </w:r>
      <w:r>
        <w:rPr>
          <w:rFonts w:ascii="Arial" w:hAnsi="Arial" w:cs="Arial"/>
          <w:sz w:val="24"/>
          <w:szCs w:val="24"/>
        </w:rPr>
        <w:t xml:space="preserve"> Sustainable import patterns are treated as an objective reality that can be measured in the import records through explicit proxies; knowledge is produced by testing hypotheses on observable data.</w:t>
      </w:r>
    </w:p>
    <w:p w14:paraId="0312A472" w14:textId="77777777" w:rsidR="00AF58BD" w:rsidRPr="002A5AE2" w:rsidRDefault="00000000" w:rsidP="002A5AE2">
      <w:pPr>
        <w:pStyle w:val="Prrafodelista"/>
        <w:numPr>
          <w:ilvl w:val="0"/>
          <w:numId w:val="5"/>
        </w:numPr>
        <w:jc w:val="both"/>
        <w:rPr>
          <w:rFonts w:ascii="Arial" w:hAnsi="Arial" w:cs="Arial"/>
          <w:sz w:val="24"/>
          <w:szCs w:val="24"/>
        </w:rPr>
      </w:pPr>
      <w:r>
        <w:rPr>
          <w:rFonts w:ascii="Arial" w:hAnsi="Arial" w:cs="Arial"/>
          <w:b/>
          <w:sz w:val="24"/>
          <w:szCs w:val="24"/>
        </w:rPr>
        <w:t>Methodology: Quantitative,</w:t>
      </w:r>
      <w:r>
        <w:rPr>
          <w:rFonts w:ascii="Arial" w:hAnsi="Arial" w:cs="Arial"/>
          <w:sz w:val="24"/>
          <w:szCs w:val="24"/>
        </w:rPr>
        <w:t xml:space="preserve"> using machine learning and statistical hypothesis tests.</w:t>
      </w:r>
    </w:p>
    <w:p w14:paraId="7D3B6CFF" w14:textId="77777777" w:rsidR="00AF58BD" w:rsidRPr="002A5AE2" w:rsidRDefault="00000000" w:rsidP="002A5AE2">
      <w:pPr>
        <w:pStyle w:val="Prrafodelista"/>
        <w:numPr>
          <w:ilvl w:val="0"/>
          <w:numId w:val="5"/>
        </w:numPr>
        <w:jc w:val="both"/>
        <w:rPr>
          <w:rFonts w:ascii="Arial" w:hAnsi="Arial" w:cs="Arial"/>
          <w:sz w:val="24"/>
          <w:szCs w:val="24"/>
        </w:rPr>
      </w:pPr>
      <w:r>
        <w:rPr>
          <w:rFonts w:ascii="Arial" w:hAnsi="Arial" w:cs="Arial"/>
          <w:b/>
          <w:sz w:val="24"/>
          <w:szCs w:val="24"/>
        </w:rPr>
        <w:t>Design: Retrospective and observational.</w:t>
      </w:r>
      <w:r>
        <w:rPr>
          <w:rFonts w:ascii="Arial" w:hAnsi="Arial" w:cs="Arial"/>
          <w:sz w:val="24"/>
          <w:szCs w:val="24"/>
        </w:rPr>
        <w:t xml:space="preserve"> Secondary customs records are analyzed with a temporal split: training on 2020–2024 and testing on 2025.</w:t>
      </w:r>
    </w:p>
    <w:p w14:paraId="6BD16CB2" w14:textId="77777777" w:rsidR="00AF58BD" w:rsidRPr="002A5AE2" w:rsidRDefault="00000000" w:rsidP="002A5AE2">
      <w:pPr>
        <w:jc w:val="both"/>
        <w:rPr>
          <w:rFonts w:ascii="Arial" w:hAnsi="Arial" w:cs="Arial"/>
          <w:sz w:val="24"/>
          <w:szCs w:val="24"/>
        </w:rPr>
      </w:pPr>
      <w:r>
        <w:rPr>
          <w:rFonts w:ascii="Arial" w:hAnsi="Arial" w:cs="Arial"/>
          <w:sz w:val="24"/>
          <w:szCs w:val="24"/>
        </w:rPr>
        <w:t>This choice won the revised Method-Fit Matrix (Deliverable 2) with 93/100. Mixed Methods passed the gate but scored 67/100, because its interview strand is not needed for the revised question and is less feasible. Interpretivism (44/100) and Design Science (45/100) were eliminated (E = 1).</w:t>
      </w:r>
    </w:p>
    <w:p w14:paraId="5C43D562" w14:textId="77777777" w:rsidR="00AF58BD" w:rsidRPr="002A5AE2" w:rsidRDefault="00000000" w:rsidP="002A5AE2">
      <w:pPr>
        <w:pStyle w:val="Ttulo3"/>
        <w:jc w:val="both"/>
        <w:rPr>
          <w:rFonts w:ascii="Arial" w:hAnsi="Arial" w:cs="Arial"/>
          <w:szCs w:val="24"/>
        </w:rPr>
      </w:pPr>
      <w:r>
        <w:rPr>
          <w:rFonts w:ascii="Arial" w:hAnsi="Arial" w:cs="Arial"/>
          <w:szCs w:val="24"/>
        </w:rPr>
        <w:t>Data and analysis</w:t>
      </w:r>
    </w:p>
    <w:p w14:paraId="315E0005" w14:textId="77777777" w:rsidR="00AF58BD" w:rsidRPr="002A5AE2" w:rsidRDefault="00000000" w:rsidP="002A5AE2">
      <w:pPr>
        <w:jc w:val="both"/>
        <w:rPr>
          <w:rFonts w:ascii="Arial" w:hAnsi="Arial" w:cs="Arial"/>
          <w:sz w:val="24"/>
          <w:szCs w:val="24"/>
        </w:rPr>
      </w:pPr>
      <w:r>
        <w:rPr>
          <w:rFonts w:ascii="Arial" w:hAnsi="Arial" w:cs="Arial"/>
          <w:b/>
          <w:sz w:val="24"/>
          <w:szCs w:val="24"/>
        </w:rPr>
        <w:t>Data.</w:t>
      </w:r>
      <w:r>
        <w:rPr>
          <w:rFonts w:ascii="Arial" w:hAnsi="Arial" w:cs="Arial"/>
          <w:sz w:val="24"/>
          <w:szCs w:val="24"/>
        </w:rPr>
        <w:t xml:space="preserve"> Real, secondary, transaction-level import records from Veritrade (based on SUNAT customs declarations), HS 4803.00.90, 4818.20 and 4818.90, filtered to tissue parent rolls (bobinas) for local conversion, January 2020 – December 2025: tariff subheading, commercial description, country of origin, supplier, importer, FOB and CIF value, net weight and quantity. Unit of analysis: the import declaration line. Each data extract is fingerprinted (MD5) for reproducibility.</w:t>
      </w:r>
    </w:p>
    <w:p w14:paraId="315E0005" w14:textId="77777777" w:rsidR="00AF58BD" w:rsidRPr="002A5AE2" w:rsidRDefault="00000000" w:rsidP="002A5AE2">
      <w:pPr>
        <w:jc w:val="both"/>
        <w:rPr>
          <w:rFonts w:ascii="Arial" w:hAnsi="Arial" w:cs="Arial"/>
          <w:sz w:val="24"/>
          <w:szCs w:val="24"/>
        </w:rPr>
      </w:pPr>
      <w:r>
        <w:rPr>
          <w:rFonts w:ascii="Arial" w:hAnsi="Arial" w:cs="Arial"/>
          <w:b/>
          <w:sz w:val="24"/>
          <w:szCs w:val="24"/>
        </w:rPr>
        <w:t xml:space="preserve">Data status and pilot run: </w:t>
      </w:r>
      <w:r>
        <w:rPr>
          <w:rFonts w:ascii="Arial" w:hAnsi="Arial" w:cs="Arial"/>
          <w:sz w:val="24"/>
          <w:szCs w:val="24"/>
        </w:rPr>
        <w:t>the cleaned dataset contains 2,994 parent-roll records (MD5 f2d7e5e54cc455749e50e57bb96dbfea). The complete pipeline has been executed once on these data to verify feasibility and reproducibility (two runs produce identical results; notebook in the GitHub repository). Hypotheses H1–H5 were written before this run and are not modified on the basis of its results; any analysis added afterwards is labeled as exploratory.</w:t>
      </w:r>
    </w:p>
    <w:p w14:paraId="7E339D79" w14:textId="77777777" w:rsidR="00AF58BD" w:rsidRPr="002A5AE2" w:rsidRDefault="00000000" w:rsidP="002A5AE2">
      <w:pPr>
        <w:jc w:val="both"/>
        <w:rPr>
          <w:rFonts w:ascii="Arial" w:hAnsi="Arial" w:cs="Arial"/>
          <w:sz w:val="24"/>
          <w:szCs w:val="24"/>
        </w:rPr>
      </w:pPr>
      <w:r>
        <w:rPr>
          <w:rFonts w:ascii="Arial" w:hAnsi="Arial" w:cs="Arial"/>
          <w:b/>
          <w:sz w:val="24"/>
          <w:szCs w:val="24"/>
        </w:rPr>
        <w:t>Proxy strategy.</w:t>
      </w:r>
      <w:r>
        <w:rPr>
          <w:rFonts w:ascii="Arial" w:hAnsi="Arial" w:cs="Arial"/>
          <w:sz w:val="24"/>
          <w:szCs w:val="24"/>
        </w:rPr>
        <w:t xml:space="preserve"> Because the records carry no environmental fields, sustainability is operationalized through explicit proxies. Each proxy's validity is argued, not assumed, and is tested with data (see Validation of the proxy label).</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AF58BD" w:rsidRPr="002A5AE2" w14:paraId="1FD439F8" w14:textId="77777777">
        <w:trPr>
          <w:tblHeader/>
        </w:trPr>
        <w:tc>
          <w:tcPr>
            <w:tcW w:w="2340" w:type="dxa"/>
            <w:shd w:val="clear" w:color="auto" w:fill="F2F2F2"/>
          </w:tcPr>
          <w:p w14:paraId="1D2D2D1C"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lastRenderedPageBreak/>
              <w:t>Proxy</w:t>
            </w:r>
          </w:p>
        </w:tc>
        <w:tc>
          <w:tcPr>
            <w:tcW w:w="2340" w:type="dxa"/>
            <w:shd w:val="clear" w:color="auto" w:fill="F2F2F2"/>
          </w:tcPr>
          <w:p w14:paraId="69285247"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What it stands for</w:t>
            </w:r>
          </w:p>
        </w:tc>
        <w:tc>
          <w:tcPr>
            <w:tcW w:w="2340" w:type="dxa"/>
            <w:shd w:val="clear" w:color="auto" w:fill="F2F2F2"/>
          </w:tcPr>
          <w:p w14:paraId="4AE95618"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Known sources of error</w:t>
            </w:r>
          </w:p>
        </w:tc>
        <w:tc>
          <w:tcPr>
            <w:tcW w:w="2340" w:type="dxa"/>
            <w:shd w:val="clear" w:color="auto" w:fill="F2F2F2"/>
          </w:tcPr>
          <w:p w14:paraId="7498AA90"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How it is validated</w:t>
            </w:r>
          </w:p>
        </w:tc>
      </w:tr>
      <w:tr w:rsidR="00AF58BD" w:rsidRPr="002A5AE2" w14:paraId="63411897" w14:textId="77777777">
        <w:tc>
          <w:tcPr>
            <w:tcW w:w="2340" w:type="dxa"/>
          </w:tcPr>
          <w:p w14:paraId="2BC0A90D"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Tariff subheading (HS code)</w:t>
            </w:r>
          </w:p>
        </w:tc>
        <w:tc>
          <w:tcPr>
            <w:tcW w:w="2340" w:type="dxa"/>
          </w:tcPr>
          <w:p w14:paraId="192215EA"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 xml:space="preserve">Grades that are recycled or </w:t>
            </w:r>
            <w:proofErr w:type="gramStart"/>
            <w:r w:rsidRPr="002A5AE2">
              <w:rPr>
                <w:rFonts w:ascii="Arial" w:hAnsi="Arial" w:cs="Arial"/>
                <w:sz w:val="24"/>
                <w:szCs w:val="24"/>
              </w:rPr>
              <w:t>certified by definition</w:t>
            </w:r>
            <w:proofErr w:type="gramEnd"/>
            <w:r w:rsidRPr="002A5AE2">
              <w:rPr>
                <w:rFonts w:ascii="Arial" w:hAnsi="Arial" w:cs="Arial"/>
                <w:sz w:val="24"/>
                <w:szCs w:val="24"/>
              </w:rPr>
              <w:t xml:space="preserve"> (e.g., recycled liner board)</w:t>
            </w:r>
          </w:p>
        </w:tc>
        <w:tc>
          <w:tcPr>
            <w:tcW w:w="2340" w:type="dxa"/>
          </w:tcPr>
          <w:p w14:paraId="4BAF82B5"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Most tissue codes do not separate recycled from virgin fiber</w:t>
            </w:r>
          </w:p>
        </w:tc>
        <w:tc>
          <w:tcPr>
            <w:tcW w:w="2340" w:type="dxa"/>
          </w:tcPr>
          <w:p w14:paraId="27362549" w14:textId="77777777" w:rsidR="00AF58BD" w:rsidRPr="002A5AE2" w:rsidRDefault="00000000" w:rsidP="002A5AE2">
            <w:pPr>
              <w:jc w:val="both"/>
              <w:rPr>
                <w:rFonts w:ascii="Arial" w:hAnsi="Arial" w:cs="Arial"/>
                <w:sz w:val="24"/>
                <w:szCs w:val="24"/>
              </w:rPr>
            </w:pPr>
            <w:r>
              <w:rPr>
                <w:rFonts w:ascii="Arial" w:hAnsi="Arial" w:cs="Arial"/>
                <w:sz w:val="24"/>
                <w:szCs w:val="24"/>
              </w:rPr>
              <w:t>Manual check of a random sample; cross-check with descriptions</w:t>
            </w:r>
          </w:p>
        </w:tc>
      </w:tr>
      <w:tr w:rsidR="00AF58BD" w:rsidRPr="002A5AE2" w14:paraId="238634AA" w14:textId="77777777">
        <w:tc>
          <w:tcPr>
            <w:tcW w:w="2340" w:type="dxa"/>
          </w:tcPr>
          <w:p w14:paraId="5359461A"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Country and supplier of origin</w:t>
            </w:r>
          </w:p>
        </w:tc>
        <w:tc>
          <w:tcPr>
            <w:tcW w:w="2340" w:type="dxa"/>
          </w:tcPr>
          <w:p w14:paraId="22E326D8"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Certification prevalence and environmental regulation in the exporting country</w:t>
            </w:r>
          </w:p>
        </w:tc>
        <w:tc>
          <w:tcPr>
            <w:tcW w:w="2340" w:type="dxa"/>
          </w:tcPr>
          <w:p w14:paraId="7F55E64F"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Ecological fallacy: a country average is not a shipment attribute</w:t>
            </w:r>
          </w:p>
        </w:tc>
        <w:tc>
          <w:tcPr>
            <w:tcW w:w="2340" w:type="dxa"/>
          </w:tcPr>
          <w:p w14:paraId="1D716D98"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Cross-reference with FSC/PEFC public registries by supplier</w:t>
            </w:r>
          </w:p>
        </w:tc>
      </w:tr>
      <w:tr w:rsidR="00AF58BD" w:rsidRPr="002A5AE2" w14:paraId="29FB3164" w14:textId="77777777">
        <w:tc>
          <w:tcPr>
            <w:tcW w:w="2340" w:type="dxa"/>
          </w:tcPr>
          <w:p w14:paraId="6E9F2C6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Certification wording (FSC, PEFC, ISO 14001)</w:t>
            </w:r>
          </w:p>
        </w:tc>
        <w:tc>
          <w:tcPr>
            <w:tcW w:w="2340" w:type="dxa"/>
          </w:tcPr>
          <w:p w14:paraId="6B786D85"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Third-party verified forest or management certification</w:t>
            </w:r>
          </w:p>
        </w:tc>
        <w:tc>
          <w:tcPr>
            <w:tcW w:w="2340" w:type="dxa"/>
          </w:tcPr>
          <w:p w14:paraId="060E875F"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Free-text inconsistency, false or outdated claims</w:t>
            </w:r>
          </w:p>
        </w:tc>
        <w:tc>
          <w:tcPr>
            <w:tcW w:w="2340" w:type="dxa"/>
          </w:tcPr>
          <w:p w14:paraId="766C0B52"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Verify supplier certificate numbers in FSC/PEFC databases</w:t>
            </w:r>
          </w:p>
        </w:tc>
      </w:tr>
      <w:tr w:rsidR="00AF58BD" w:rsidRPr="002A5AE2" w14:paraId="4968BCA0" w14:textId="77777777">
        <w:tc>
          <w:tcPr>
            <w:tcW w:w="2340" w:type="dxa"/>
          </w:tcPr>
          <w:p w14:paraId="24A292AF"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Recycled-content wording ("</w:t>
            </w:r>
            <w:proofErr w:type="spellStart"/>
            <w:r w:rsidRPr="002A5AE2">
              <w:rPr>
                <w:rFonts w:ascii="Arial" w:hAnsi="Arial" w:cs="Arial"/>
                <w:sz w:val="24"/>
                <w:szCs w:val="24"/>
              </w:rPr>
              <w:t>reciclado</w:t>
            </w:r>
            <w:proofErr w:type="spellEnd"/>
            <w:r w:rsidRPr="002A5AE2">
              <w:rPr>
                <w:rFonts w:ascii="Arial" w:hAnsi="Arial" w:cs="Arial"/>
                <w:sz w:val="24"/>
                <w:szCs w:val="24"/>
              </w:rPr>
              <w:t>", "recycled", "100% virgin")</w:t>
            </w:r>
          </w:p>
        </w:tc>
        <w:tc>
          <w:tcPr>
            <w:tcW w:w="2340" w:type="dxa"/>
          </w:tcPr>
          <w:p w14:paraId="0BE216C0"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Share of recycled fiber</w:t>
            </w:r>
          </w:p>
        </w:tc>
        <w:tc>
          <w:tcPr>
            <w:tcW w:w="2340" w:type="dxa"/>
          </w:tcPr>
          <w:p w14:paraId="7B8F68B0"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Mislabeling, omission, Spanish/English variants</w:t>
            </w:r>
          </w:p>
        </w:tc>
        <w:tc>
          <w:tcPr>
            <w:tcW w:w="2340" w:type="dxa"/>
          </w:tcPr>
          <w:p w14:paraId="47B016D5"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Dictionary with variants; manual check of a random sample</w:t>
            </w:r>
          </w:p>
        </w:tc>
      </w:tr>
    </w:tbl>
    <w:p w14:paraId="52191865" w14:textId="77777777" w:rsidR="00AF58BD" w:rsidRPr="002A5AE2" w:rsidRDefault="00000000" w:rsidP="002A5AE2">
      <w:pPr>
        <w:jc w:val="both"/>
        <w:rPr>
          <w:rFonts w:ascii="Arial" w:hAnsi="Arial" w:cs="Arial"/>
          <w:sz w:val="24"/>
          <w:szCs w:val="24"/>
        </w:rPr>
      </w:pPr>
      <w:r>
        <w:rPr>
          <w:rFonts w:ascii="Arial" w:hAnsi="Arial" w:cs="Arial"/>
          <w:b/>
          <w:sz w:val="24"/>
          <w:szCs w:val="24"/>
        </w:rPr>
        <w:t>Label construction.</w:t>
      </w:r>
      <w:r>
        <w:rPr>
          <w:rFonts w:ascii="Arial" w:hAnsi="Arial" w:cs="Arial"/>
          <w:sz w:val="24"/>
          <w:szCs w:val="24"/>
        </w:rPr>
        <w:t xml:space="preserve"> A binary label, "proxy-indicated sustainable" vs. "no sustainability wording found", is built from the certification and recycled-content proxies. Two raters label a random sample by hand, and Cohen's kappa is reported. Because missing wording is not proof of conventional paper, the share of mislabeled records is estimated from this sample.</w:t>
      </w:r>
    </w:p>
    <w:p w14:paraId="27C9C577"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t>Analysis steps.</w:t>
      </w:r>
    </w:p>
    <w:p w14:paraId="02A939DB" w14:textId="77777777" w:rsidR="00AF58BD" w:rsidRPr="002A5AE2" w:rsidRDefault="00000000" w:rsidP="002A5AE2">
      <w:pPr>
        <w:pStyle w:val="Prrafodelista"/>
        <w:numPr>
          <w:ilvl w:val="0"/>
          <w:numId w:val="6"/>
        </w:numPr>
        <w:jc w:val="both"/>
        <w:rPr>
          <w:rFonts w:ascii="Arial" w:hAnsi="Arial" w:cs="Arial"/>
          <w:sz w:val="24"/>
          <w:szCs w:val="24"/>
        </w:rPr>
      </w:pPr>
      <w:r w:rsidRPr="002A5AE2">
        <w:rPr>
          <w:rFonts w:ascii="Arial" w:hAnsi="Arial" w:cs="Arial"/>
          <w:sz w:val="24"/>
          <w:szCs w:val="24"/>
        </w:rPr>
        <w:t>Cleaning and standardization: harmonize HS codes, currencies and units; compute unit value (US$/kg); text-normalize descriptions (lowercase, accents, abbreviations).</w:t>
      </w:r>
    </w:p>
    <w:p w14:paraId="311D2EF2" w14:textId="77777777" w:rsidR="00AF58BD" w:rsidRPr="002A5AE2" w:rsidRDefault="00000000" w:rsidP="002A5AE2">
      <w:pPr>
        <w:pStyle w:val="Prrafodelista"/>
        <w:numPr>
          <w:ilvl w:val="0"/>
          <w:numId w:val="6"/>
        </w:numPr>
        <w:jc w:val="both"/>
        <w:rPr>
          <w:rFonts w:ascii="Arial" w:hAnsi="Arial" w:cs="Arial"/>
          <w:sz w:val="24"/>
          <w:szCs w:val="24"/>
        </w:rPr>
      </w:pPr>
      <w:r w:rsidRPr="002A5AE2">
        <w:rPr>
          <w:rFonts w:ascii="Arial" w:hAnsi="Arial" w:cs="Arial"/>
          <w:sz w:val="24"/>
          <w:szCs w:val="24"/>
        </w:rPr>
        <w:t>Feature extraction: keyword and regular-expression dictionaries for certification and recycled-content wording, validated on a manual sample.</w:t>
      </w:r>
    </w:p>
    <w:p w14:paraId="479ED015" w14:textId="77777777" w:rsidR="00AF58BD" w:rsidRPr="002A5AE2" w:rsidRDefault="00000000" w:rsidP="002A5AE2">
      <w:pPr>
        <w:pStyle w:val="Prrafodelista"/>
        <w:numPr>
          <w:ilvl w:val="0"/>
          <w:numId w:val="6"/>
        </w:numPr>
        <w:jc w:val="both"/>
        <w:rPr>
          <w:rFonts w:ascii="Arial" w:hAnsi="Arial" w:cs="Arial"/>
          <w:sz w:val="24"/>
          <w:szCs w:val="24"/>
        </w:rPr>
      </w:pPr>
      <w:r>
        <w:rPr>
          <w:rFonts w:ascii="Arial" w:hAnsi="Arial" w:cs="Arial"/>
          <w:b/>
          <w:sz w:val="24"/>
          <w:szCs w:val="24"/>
        </w:rPr>
        <w:t xml:space="preserve">Isolation Forest (anomaly detection): </w:t>
      </w:r>
      <w:r>
        <w:rPr>
          <w:rFonts w:ascii="Arial" w:hAnsi="Arial" w:cs="Arial"/>
          <w:sz w:val="24"/>
          <w:szCs w:val="24"/>
        </w:rPr>
        <w:t>flags inconsistent tariff–country–description combinations and extreme unit values; flagged records are reviewed and set aside before profiling and modeling, and results are reported with and without them.</w:t>
      </w:r>
    </w:p>
    <w:p w14:paraId="32A1A220" w14:textId="77777777" w:rsidR="00AF58BD" w:rsidRPr="002A5AE2" w:rsidRDefault="00000000" w:rsidP="002A5AE2">
      <w:pPr>
        <w:pStyle w:val="Prrafodelista"/>
        <w:numPr>
          <w:ilvl w:val="0"/>
          <w:numId w:val="6"/>
        </w:numPr>
        <w:jc w:val="both"/>
        <w:rPr>
          <w:rFonts w:ascii="Arial" w:hAnsi="Arial" w:cs="Arial"/>
          <w:sz w:val="24"/>
          <w:szCs w:val="24"/>
        </w:rPr>
      </w:pPr>
      <w:r w:rsidRPr="002A5AE2">
        <w:rPr>
          <w:rFonts w:ascii="Arial" w:hAnsi="Arial" w:cs="Arial"/>
          <w:b/>
          <w:sz w:val="24"/>
          <w:szCs w:val="24"/>
        </w:rPr>
        <w:t>K-Means</w:t>
      </w:r>
      <w:r w:rsidRPr="002A5AE2">
        <w:rPr>
          <w:rFonts w:ascii="Arial" w:hAnsi="Arial" w:cs="Arial"/>
          <w:sz w:val="24"/>
          <w:szCs w:val="24"/>
        </w:rPr>
        <w:t xml:space="preserve"> (clustering): groups transactions into import profiles; number of clusters chosen with the elbow method and silhouette score; profiles described by origin, subheading, unit value, volume, frequency and share of proxy-sustainable records. (RQ1)</w:t>
      </w:r>
    </w:p>
    <w:p w14:paraId="7DD5800F" w14:textId="77777777" w:rsidR="00AF58BD" w:rsidRPr="002A5AE2" w:rsidRDefault="00000000" w:rsidP="002A5AE2">
      <w:pPr>
        <w:pStyle w:val="Prrafodelista"/>
        <w:numPr>
          <w:ilvl w:val="0"/>
          <w:numId w:val="6"/>
        </w:numPr>
        <w:jc w:val="both"/>
        <w:rPr>
          <w:rFonts w:ascii="Arial" w:hAnsi="Arial" w:cs="Arial"/>
          <w:sz w:val="24"/>
          <w:szCs w:val="24"/>
        </w:rPr>
      </w:pPr>
      <w:r>
        <w:rPr>
          <w:rFonts w:ascii="Arial" w:hAnsi="Arial" w:cs="Arial"/>
          <w:b/>
          <w:sz w:val="24"/>
          <w:szCs w:val="24"/>
        </w:rPr>
        <w:t xml:space="preserve">XGBoost (classification): </w:t>
      </w:r>
      <w:r>
        <w:rPr>
          <w:rFonts w:ascii="Arial" w:hAnsi="Arial" w:cs="Arial"/>
          <w:sz w:val="24"/>
          <w:szCs w:val="24"/>
        </w:rPr>
        <w:t>predicts the proxy label from structured fields only (subheading, origin, supplier, unit value, volume, frequency). The description text is excluded as a feature because the label is built from it. Validation uses folds grouped by importer on 2020–2024 (supplier is missing in about half of the records) and a final test on 2025. XGBoost is compared with majority-class and logistic-regression baselines on identical folds (corrected resampled t-test). Metrics: PR-AUC (primary), F1, precision and recall, reported as mean ± SD over folds and at least 20 seeds. (RQ2)</w:t>
      </w:r>
    </w:p>
    <w:p w14:paraId="029EC8DF" w14:textId="77777777" w:rsidR="00AF58BD" w:rsidRPr="002A5AE2" w:rsidRDefault="00000000" w:rsidP="002A5AE2">
      <w:pPr>
        <w:pStyle w:val="Prrafodelista"/>
        <w:numPr>
          <w:ilvl w:val="0"/>
          <w:numId w:val="6"/>
        </w:numPr>
        <w:jc w:val="both"/>
        <w:rPr>
          <w:rFonts w:ascii="Arial" w:hAnsi="Arial" w:cs="Arial"/>
          <w:sz w:val="24"/>
          <w:szCs w:val="24"/>
        </w:rPr>
      </w:pPr>
      <w:r w:rsidRPr="002A5AE2">
        <w:rPr>
          <w:rFonts w:ascii="Arial" w:hAnsi="Arial" w:cs="Arial"/>
          <w:b/>
          <w:sz w:val="24"/>
          <w:szCs w:val="24"/>
        </w:rPr>
        <w:t>SHAP</w:t>
      </w:r>
      <w:r w:rsidRPr="002A5AE2">
        <w:rPr>
          <w:rFonts w:ascii="Arial" w:hAnsi="Arial" w:cs="Arial"/>
          <w:sz w:val="24"/>
          <w:szCs w:val="24"/>
        </w:rPr>
        <w:t>: ranks the contribution of each variable to the predictions and shows direction of effect. (RQ2)</w:t>
      </w:r>
    </w:p>
    <w:p w14:paraId="208CCB96" w14:textId="77777777" w:rsidR="00AF58BD" w:rsidRPr="002A5AE2" w:rsidRDefault="00000000" w:rsidP="002A5AE2">
      <w:pPr>
        <w:pStyle w:val="Prrafodelista"/>
        <w:numPr>
          <w:ilvl w:val="0"/>
          <w:numId w:val="6"/>
        </w:numPr>
        <w:jc w:val="both"/>
        <w:rPr>
          <w:rFonts w:ascii="Arial" w:hAnsi="Arial" w:cs="Arial"/>
          <w:sz w:val="24"/>
          <w:szCs w:val="24"/>
        </w:rPr>
      </w:pPr>
      <w:r>
        <w:rPr>
          <w:rFonts w:ascii="Arial" w:hAnsi="Arial" w:cs="Arial"/>
          <w:b/>
          <w:sz w:val="24"/>
          <w:szCs w:val="24"/>
        </w:rPr>
        <w:t xml:space="preserve">Hypothesis tests: </w:t>
      </w:r>
      <w:r>
        <w:rPr>
          <w:rFonts w:ascii="Arial" w:hAnsi="Arial" w:cs="Arial"/>
          <w:sz w:val="24"/>
          <w:szCs w:val="24"/>
        </w:rPr>
        <w:t>paired corrected t-test against the baselines (H2); Mann–Whitney test with effect size for unit values within the same subheading (H4); two-proportion test for the change in sustainable share over time (H5). (RQ3)</w:t>
      </w:r>
    </w:p>
    <w:p w14:paraId="546AF24A" w14:textId="77777777" w:rsidR="00AF58BD" w:rsidRPr="002A5AE2" w:rsidRDefault="00000000" w:rsidP="002A5AE2">
      <w:pPr>
        <w:jc w:val="both"/>
        <w:rPr>
          <w:rFonts w:ascii="Arial" w:hAnsi="Arial" w:cs="Arial"/>
          <w:sz w:val="24"/>
          <w:szCs w:val="24"/>
        </w:rPr>
      </w:pPr>
      <w:r>
        <w:rPr>
          <w:rFonts w:ascii="Arial" w:hAnsi="Arial" w:cs="Arial"/>
          <w:b/>
          <w:sz w:val="24"/>
          <w:szCs w:val="24"/>
        </w:rPr>
        <w:t xml:space="preserve">Tools: </w:t>
      </w:r>
      <w:r>
        <w:rPr>
          <w:rFonts w:ascii="Arial" w:hAnsi="Arial" w:cs="Arial"/>
          <w:sz w:val="24"/>
          <w:szCs w:val="24"/>
        </w:rPr>
        <w:t>Python (pandas, scikit-learn, XGBoost, SHAP) in a reproducible notebook with fixed seeds and pinned versions (GitHub).</w:t>
      </w:r>
    </w:p>
    <w:p w14:paraId="25DDE597" w14:textId="77777777" w:rsidR="00AF58BD" w:rsidRPr="002A5AE2" w:rsidRDefault="00000000" w:rsidP="002A5AE2">
      <w:pPr>
        <w:pStyle w:val="Ttulo3"/>
        <w:jc w:val="both"/>
        <w:rPr>
          <w:rFonts w:ascii="Arial" w:hAnsi="Arial" w:cs="Arial"/>
          <w:szCs w:val="24"/>
        </w:rPr>
      </w:pPr>
      <w:r>
        <w:rPr>
          <w:rFonts w:ascii="Arial" w:hAnsi="Arial" w:cs="Arial"/>
          <w:szCs w:val="24"/>
        </w:rPr>
        <w:t>Validation of the proxy label</w:t>
      </w:r>
    </w:p>
    <w:p w14:paraId="4CBD8A20" w14:textId="77777777" w:rsidR="00AF58BD" w:rsidRPr="002A5AE2" w:rsidRDefault="00000000" w:rsidP="002A5AE2">
      <w:pPr>
        <w:pStyle w:val="Prrafodelista"/>
        <w:numPr>
          <w:ilvl w:val="0"/>
          <w:numId w:val="7"/>
        </w:numPr>
        <w:jc w:val="both"/>
        <w:rPr>
          <w:rFonts w:ascii="Arial" w:hAnsi="Arial" w:cs="Arial"/>
          <w:sz w:val="24"/>
          <w:szCs w:val="24"/>
        </w:rPr>
      </w:pPr>
      <w:r>
        <w:rPr>
          <w:rFonts w:ascii="Arial" w:hAnsi="Arial" w:cs="Arial"/>
          <w:b/>
          <w:sz w:val="24"/>
          <w:szCs w:val="24"/>
        </w:rPr>
        <w:t xml:space="preserve">Two-rater audit: </w:t>
      </w:r>
      <w:r>
        <w:rPr>
          <w:rFonts w:ascii="Arial" w:hAnsi="Arial" w:cs="Arial"/>
          <w:sz w:val="24"/>
          <w:szCs w:val="24"/>
        </w:rPr>
        <w:t>a random sample of records is labeled by hand by two raters; agreement is reported with Cohen's kappa.</w:t>
      </w:r>
    </w:p>
    <w:p w14:paraId="1E68D747" w14:textId="77777777" w:rsidR="00AF58BD" w:rsidRPr="002A5AE2" w:rsidRDefault="00000000" w:rsidP="002A5AE2">
      <w:pPr>
        <w:pStyle w:val="Prrafodelista"/>
        <w:numPr>
          <w:ilvl w:val="0"/>
          <w:numId w:val="7"/>
        </w:numPr>
        <w:jc w:val="both"/>
        <w:rPr>
          <w:rFonts w:ascii="Arial" w:hAnsi="Arial" w:cs="Arial"/>
          <w:sz w:val="24"/>
          <w:szCs w:val="24"/>
        </w:rPr>
      </w:pPr>
      <w:r>
        <w:rPr>
          <w:rFonts w:ascii="Arial" w:hAnsi="Arial" w:cs="Arial"/>
          <w:b/>
          <w:sz w:val="24"/>
          <w:szCs w:val="24"/>
        </w:rPr>
        <w:t xml:space="preserve">Registry check: </w:t>
      </w:r>
      <w:r>
        <w:rPr>
          <w:rFonts w:ascii="Arial" w:hAnsi="Arial" w:cs="Arial"/>
          <w:sz w:val="24"/>
          <w:szCs w:val="24"/>
        </w:rPr>
        <w:t>suppliers marked as certified are verified in the public FSC and PEFC certificate databases.</w:t>
      </w:r>
    </w:p>
    <w:p w14:paraId="3717769E" w14:textId="77777777" w:rsidR="00AF58BD" w:rsidRPr="002A5AE2" w:rsidRDefault="00000000" w:rsidP="002A5AE2">
      <w:pPr>
        <w:pStyle w:val="Prrafodelista"/>
        <w:numPr>
          <w:ilvl w:val="0"/>
          <w:numId w:val="7"/>
        </w:numPr>
        <w:jc w:val="both"/>
        <w:rPr>
          <w:rFonts w:ascii="Arial" w:hAnsi="Arial" w:cs="Arial"/>
          <w:sz w:val="24"/>
          <w:szCs w:val="24"/>
        </w:rPr>
      </w:pPr>
      <w:r>
        <w:rPr>
          <w:rFonts w:ascii="Arial" w:hAnsi="Arial" w:cs="Arial"/>
          <w:b/>
          <w:sz w:val="24"/>
          <w:szCs w:val="24"/>
        </w:rPr>
        <w:t xml:space="preserve">Sensitivity analysis: </w:t>
      </w:r>
      <w:r>
        <w:rPr>
          <w:rFonts w:ascii="Arial" w:hAnsi="Arial" w:cs="Arial"/>
          <w:sz w:val="24"/>
          <w:szCs w:val="24"/>
        </w:rPr>
        <w:t>results are reported with and without each proxy, and with and without the 2020–2021 COVID-19 years.</w:t>
      </w:r>
    </w:p>
    <w:p w14:paraId="3717769E" w14:textId="77777777" w:rsidR="00AF58BD" w:rsidRPr="002A5AE2" w:rsidRDefault="00000000" w:rsidP="002A5AE2">
      <w:pPr>
        <w:pStyle w:val="Prrafodelista"/>
        <w:numPr>
          <w:ilvl w:val="0"/>
          <w:numId w:val="7"/>
        </w:numPr>
        <w:jc w:val="both"/>
        <w:rPr>
          <w:rFonts w:ascii="Arial" w:hAnsi="Arial" w:cs="Arial"/>
          <w:sz w:val="24"/>
          <w:szCs w:val="24"/>
        </w:rPr>
      </w:pPr>
      <w:r>
        <w:rPr>
          <w:rFonts w:ascii="Arial" w:hAnsi="Arial" w:cs="Arial"/>
          <w:b/>
          <w:sz w:val="24"/>
          <w:szCs w:val="24"/>
        </w:rPr>
        <w:t xml:space="preserve">Exploratory analysis (not pre-specified): </w:t>
      </w:r>
      <w:r>
        <w:rPr>
          <w:rFonts w:ascii="Arial" w:hAnsi="Arial" w:cs="Arial"/>
          <w:sz w:val="24"/>
          <w:szCs w:val="24"/>
        </w:rPr>
        <w:t>difference in FOB price per kg between recycled-fibre and virgin parent rolls (Mann–Whitney test and a regression controlling for year, product type and HS code). It is reported separately from the confirmatory tests.</w:t>
      </w:r>
    </w:p>
    <w:p w14:paraId="6D032794" w14:textId="77777777" w:rsidR="00AF58BD" w:rsidRPr="002A5AE2" w:rsidRDefault="00000000" w:rsidP="002A5AE2">
      <w:pPr>
        <w:pStyle w:val="Ttulo3"/>
        <w:jc w:val="both"/>
        <w:rPr>
          <w:rFonts w:ascii="Arial" w:hAnsi="Arial" w:cs="Arial"/>
          <w:szCs w:val="24"/>
        </w:rPr>
      </w:pPr>
      <w:r>
        <w:rPr>
          <w:rFonts w:ascii="Arial" w:hAnsi="Arial" w:cs="Arial"/>
          <w:szCs w:val="24"/>
        </w:rPr>
        <w:t>Rigor and reproducibility</w:t>
      </w:r>
    </w:p>
    <w:p w14:paraId="2D125333" w14:textId="77777777" w:rsidR="00AF58BD" w:rsidRPr="002A5AE2" w:rsidRDefault="00000000" w:rsidP="002A5AE2">
      <w:pPr>
        <w:pStyle w:val="Prrafodelista"/>
        <w:numPr>
          <w:ilvl w:val="0"/>
          <w:numId w:val="8"/>
        </w:numPr>
        <w:jc w:val="both"/>
        <w:rPr>
          <w:rFonts w:ascii="Arial" w:hAnsi="Arial" w:cs="Arial"/>
          <w:sz w:val="24"/>
          <w:szCs w:val="24"/>
        </w:rPr>
      </w:pPr>
      <w:r>
        <w:rPr>
          <w:rFonts w:ascii="Arial" w:hAnsi="Arial" w:cs="Arial"/>
          <w:sz w:val="24"/>
          <w:szCs w:val="24"/>
        </w:rPr>
        <w:t>Statistical validity: grouped cross-validation, a temporal hold-out test set, baselines with equal tuning, and significance tests with effect sizes.</w:t>
      </w:r>
    </w:p>
    <w:p w14:paraId="330E9DE0" w14:textId="77777777" w:rsidR="00AF58BD" w:rsidRPr="002A5AE2" w:rsidRDefault="00000000" w:rsidP="002A5AE2">
      <w:pPr>
        <w:pStyle w:val="Prrafodelista"/>
        <w:numPr>
          <w:ilvl w:val="0"/>
          <w:numId w:val="8"/>
        </w:numPr>
        <w:jc w:val="both"/>
        <w:rPr>
          <w:rFonts w:ascii="Arial" w:hAnsi="Arial" w:cs="Arial"/>
          <w:sz w:val="24"/>
          <w:szCs w:val="24"/>
        </w:rPr>
      </w:pPr>
      <w:r>
        <w:rPr>
          <w:rFonts w:ascii="Arial" w:hAnsi="Arial" w:cs="Arial"/>
          <w:sz w:val="24"/>
          <w:szCs w:val="24"/>
        </w:rPr>
        <w:t>Reproducibility: fixed seeds, pinned package versions, data fingerprints (MD5) and a public notebook, documented with a Model Card and a Datasheet.</w:t>
      </w:r>
    </w:p>
    <w:p w14:paraId="52CB65C1" w14:textId="77777777" w:rsidR="00AF58BD" w:rsidRPr="002A5AE2" w:rsidRDefault="00000000" w:rsidP="002A5AE2">
      <w:pPr>
        <w:pStyle w:val="Prrafodelista"/>
        <w:numPr>
          <w:ilvl w:val="0"/>
          <w:numId w:val="8"/>
        </w:numPr>
        <w:jc w:val="both"/>
        <w:rPr>
          <w:rFonts w:ascii="Arial" w:hAnsi="Arial" w:cs="Arial"/>
          <w:sz w:val="24"/>
          <w:szCs w:val="24"/>
        </w:rPr>
      </w:pPr>
      <w:r>
        <w:rPr>
          <w:rFonts w:ascii="Arial" w:hAnsi="Arial" w:cs="Arial"/>
          <w:sz w:val="24"/>
          <w:szCs w:val="24"/>
        </w:rPr>
        <w:t>Pre-registration: hypotheses and numeric thresholds are registered before modeling, to avoid adjusting them to the results.</w:t>
      </w:r>
    </w:p>
    <w:p w14:paraId="600B6C9C" w14:textId="77777777" w:rsidR="00AF58BD" w:rsidRPr="002A5AE2" w:rsidRDefault="00000000" w:rsidP="002A5AE2">
      <w:pPr>
        <w:pStyle w:val="Ttulo2"/>
        <w:jc w:val="both"/>
        <w:rPr>
          <w:rFonts w:ascii="Arial" w:hAnsi="Arial" w:cs="Arial"/>
          <w:sz w:val="24"/>
          <w:szCs w:val="24"/>
        </w:rPr>
      </w:pPr>
      <w:r w:rsidRPr="002A5AE2">
        <w:rPr>
          <w:rFonts w:ascii="Arial" w:hAnsi="Arial" w:cs="Arial"/>
          <w:sz w:val="24"/>
          <w:szCs w:val="24"/>
        </w:rPr>
        <w:lastRenderedPageBreak/>
        <w:t>07 · Ethical Considerations</w:t>
      </w:r>
    </w:p>
    <w:p w14:paraId="31529229" w14:textId="77777777" w:rsidR="00AF58BD" w:rsidRPr="002A5AE2" w:rsidRDefault="00000000" w:rsidP="002A5AE2">
      <w:pPr>
        <w:pStyle w:val="Prrafodelista"/>
        <w:numPr>
          <w:ilvl w:val="0"/>
          <w:numId w:val="9"/>
        </w:numPr>
        <w:jc w:val="both"/>
        <w:rPr>
          <w:rFonts w:ascii="Arial" w:hAnsi="Arial" w:cs="Arial"/>
          <w:sz w:val="24"/>
          <w:szCs w:val="24"/>
        </w:rPr>
      </w:pPr>
      <w:r>
        <w:rPr>
          <w:rFonts w:ascii="Arial" w:hAnsi="Arial" w:cs="Arial"/>
          <w:b/>
          <w:sz w:val="24"/>
          <w:szCs w:val="24"/>
        </w:rPr>
        <w:t xml:space="preserve">Ethics approval: </w:t>
      </w:r>
      <w:r>
        <w:rPr>
          <w:rFonts w:ascii="Arial" w:hAnsi="Arial" w:cs="Arial"/>
          <w:sz w:val="24"/>
          <w:szCs w:val="24"/>
        </w:rPr>
        <w:t>the protocol will be submitted to the UNMSM research ethics committee as a study of secondary data with no human participants.</w:t>
      </w:r>
    </w:p>
    <w:p w14:paraId="4C587EFB" w14:textId="77777777" w:rsidR="00AF58BD" w:rsidRPr="002A5AE2" w:rsidRDefault="00000000" w:rsidP="002A5AE2">
      <w:pPr>
        <w:pStyle w:val="Prrafodelista"/>
        <w:numPr>
          <w:ilvl w:val="0"/>
          <w:numId w:val="9"/>
        </w:numPr>
        <w:jc w:val="both"/>
        <w:rPr>
          <w:rFonts w:ascii="Arial" w:hAnsi="Arial" w:cs="Arial"/>
          <w:sz w:val="24"/>
          <w:szCs w:val="24"/>
        </w:rPr>
      </w:pPr>
      <w:r w:rsidRPr="002A5AE2">
        <w:rPr>
          <w:rFonts w:ascii="Arial" w:hAnsi="Arial" w:cs="Arial"/>
          <w:b/>
          <w:sz w:val="24"/>
          <w:szCs w:val="24"/>
        </w:rPr>
        <w:t>Commercially sensitive data:</w:t>
      </w:r>
      <w:r w:rsidRPr="002A5AE2">
        <w:rPr>
          <w:rFonts w:ascii="Arial" w:hAnsi="Arial" w:cs="Arial"/>
          <w:sz w:val="24"/>
          <w:szCs w:val="24"/>
        </w:rPr>
        <w:t xml:space="preserve"> SUNAT and </w:t>
      </w:r>
      <w:proofErr w:type="spellStart"/>
      <w:r w:rsidRPr="002A5AE2">
        <w:rPr>
          <w:rFonts w:ascii="Arial" w:hAnsi="Arial" w:cs="Arial"/>
          <w:sz w:val="24"/>
          <w:szCs w:val="24"/>
        </w:rPr>
        <w:t>Veritrade</w:t>
      </w:r>
      <w:proofErr w:type="spellEnd"/>
      <w:r w:rsidRPr="002A5AE2">
        <w:rPr>
          <w:rFonts w:ascii="Arial" w:hAnsi="Arial" w:cs="Arial"/>
          <w:sz w:val="24"/>
          <w:szCs w:val="24"/>
        </w:rPr>
        <w:t xml:space="preserve"> records are used only within their terms of access. Firm-level records are commercially sensitive, so results are reported in aggregated or anonymized form, without disclosing the identity of individual importers or suppliers.</w:t>
      </w:r>
    </w:p>
    <w:p w14:paraId="7A0C33CE" w14:textId="77777777" w:rsidR="00AF58BD" w:rsidRPr="002A5AE2" w:rsidRDefault="00000000" w:rsidP="002A5AE2">
      <w:pPr>
        <w:pStyle w:val="Prrafodelista"/>
        <w:numPr>
          <w:ilvl w:val="0"/>
          <w:numId w:val="9"/>
        </w:numPr>
        <w:jc w:val="both"/>
        <w:rPr>
          <w:rFonts w:ascii="Arial" w:hAnsi="Arial" w:cs="Arial"/>
          <w:sz w:val="24"/>
          <w:szCs w:val="24"/>
        </w:rPr>
      </w:pPr>
      <w:r>
        <w:rPr>
          <w:rFonts w:ascii="Arial" w:hAnsi="Arial" w:cs="Arial"/>
          <w:b/>
          <w:sz w:val="24"/>
          <w:szCs w:val="24"/>
        </w:rPr>
        <w:t xml:space="preserve">Data security: </w:t>
      </w:r>
      <w:r>
        <w:rPr>
          <w:rFonts w:ascii="Arial" w:hAnsi="Arial" w:cs="Arial"/>
          <w:sz w:val="24"/>
          <w:szCs w:val="24"/>
        </w:rPr>
        <w:t>raw data are stored encrypted, with access limited to the researcher and the advisor; anonymized data are kept for the period required by the university.</w:t>
      </w:r>
    </w:p>
    <w:p w14:paraId="412C50C2" w14:textId="77777777" w:rsidR="00AF58BD" w:rsidRPr="002A5AE2" w:rsidRDefault="00000000" w:rsidP="002A5AE2">
      <w:pPr>
        <w:pStyle w:val="Prrafodelista"/>
        <w:numPr>
          <w:ilvl w:val="0"/>
          <w:numId w:val="9"/>
        </w:numPr>
        <w:jc w:val="both"/>
        <w:rPr>
          <w:rFonts w:ascii="Arial" w:hAnsi="Arial" w:cs="Arial"/>
          <w:sz w:val="24"/>
          <w:szCs w:val="24"/>
        </w:rPr>
      </w:pPr>
      <w:r w:rsidRPr="002A5AE2">
        <w:rPr>
          <w:rFonts w:ascii="Arial" w:hAnsi="Arial" w:cs="Arial"/>
          <w:b/>
          <w:sz w:val="24"/>
          <w:szCs w:val="24"/>
        </w:rPr>
        <w:t>Responsible interpretation:</w:t>
      </w:r>
      <w:r w:rsidRPr="002A5AE2">
        <w:rPr>
          <w:rFonts w:ascii="Arial" w:hAnsi="Arial" w:cs="Arial"/>
          <w:sz w:val="24"/>
          <w:szCs w:val="24"/>
        </w:rPr>
        <w:t xml:space="preserve"> a proxy-based label is not proof that a firm is or is not sustainable. Results will not be presented as accusations of greenwashing against identifiable firms.</w:t>
      </w:r>
    </w:p>
    <w:p w14:paraId="5C23041B" w14:textId="77777777" w:rsidR="00AF58BD" w:rsidRPr="002A5AE2" w:rsidRDefault="00000000" w:rsidP="002A5AE2">
      <w:pPr>
        <w:pStyle w:val="Prrafodelista"/>
        <w:numPr>
          <w:ilvl w:val="0"/>
          <w:numId w:val="9"/>
        </w:numPr>
        <w:jc w:val="both"/>
        <w:rPr>
          <w:rFonts w:ascii="Arial" w:hAnsi="Arial" w:cs="Arial"/>
          <w:sz w:val="24"/>
          <w:szCs w:val="24"/>
        </w:rPr>
      </w:pPr>
      <w:r w:rsidRPr="002A5AE2">
        <w:rPr>
          <w:rFonts w:ascii="Arial" w:hAnsi="Arial" w:cs="Arial"/>
          <w:b/>
          <w:sz w:val="24"/>
          <w:szCs w:val="24"/>
        </w:rPr>
        <w:t>Conflicts of interest:</w:t>
      </w:r>
      <w:r w:rsidRPr="002A5AE2">
        <w:rPr>
          <w:rFonts w:ascii="Arial" w:hAnsi="Arial" w:cs="Arial"/>
          <w:sz w:val="24"/>
          <w:szCs w:val="24"/>
        </w:rPr>
        <w:t xml:space="preserve"> none declared; any relationship with importers or public entities will be disclosed.</w:t>
      </w:r>
    </w:p>
    <w:p w14:paraId="466173A6" w14:textId="77777777" w:rsidR="00AF58BD" w:rsidRPr="002A5AE2" w:rsidRDefault="00000000" w:rsidP="002A5AE2">
      <w:pPr>
        <w:pStyle w:val="Prrafodelista"/>
        <w:numPr>
          <w:ilvl w:val="0"/>
          <w:numId w:val="9"/>
        </w:numPr>
        <w:jc w:val="both"/>
        <w:rPr>
          <w:rFonts w:ascii="Arial" w:hAnsi="Arial" w:cs="Arial"/>
          <w:sz w:val="24"/>
          <w:szCs w:val="24"/>
        </w:rPr>
      </w:pPr>
      <w:r w:rsidRPr="002A5AE2">
        <w:rPr>
          <w:rFonts w:ascii="Arial" w:hAnsi="Arial" w:cs="Arial"/>
          <w:b/>
          <w:sz w:val="24"/>
          <w:szCs w:val="24"/>
        </w:rPr>
        <w:t>Use of AI tools:</w:t>
      </w:r>
      <w:r w:rsidRPr="002A5AE2">
        <w:rPr>
          <w:rFonts w:ascii="Arial" w:hAnsi="Arial" w:cs="Arial"/>
          <w:sz w:val="24"/>
          <w:szCs w:val="24"/>
        </w:rPr>
        <w:t xml:space="preserve"> any AI assistance in writing or coding will be disclosed according to UNMSM and journal policies.</w:t>
      </w:r>
    </w:p>
    <w:p w14:paraId="239E7A1A" w14:textId="77777777" w:rsidR="00AF58BD" w:rsidRPr="002A5AE2" w:rsidRDefault="00000000" w:rsidP="002A5AE2">
      <w:pPr>
        <w:pStyle w:val="Ttulo2"/>
        <w:jc w:val="both"/>
        <w:rPr>
          <w:rFonts w:ascii="Arial" w:hAnsi="Arial" w:cs="Arial"/>
          <w:sz w:val="24"/>
          <w:szCs w:val="24"/>
        </w:rPr>
      </w:pPr>
      <w:r w:rsidRPr="002A5AE2">
        <w:rPr>
          <w:rFonts w:ascii="Arial" w:hAnsi="Arial" w:cs="Arial"/>
          <w:sz w:val="24"/>
          <w:szCs w:val="24"/>
        </w:rPr>
        <w:t>08 · Expected Results</w:t>
      </w:r>
    </w:p>
    <w:tbl>
      <w:tblPr>
        <w:tblStyle w:val="Tablaconcuadrcula"/>
        <w:tblW w:w="0" w:type="auto"/>
        <w:tblLayout w:type="fixed"/>
        <w:tblLook w:val="0420" w:firstRow="1" w:lastRow="0" w:firstColumn="0" w:lastColumn="0" w:noHBand="0" w:noVBand="1"/>
      </w:tblPr>
      <w:tblGrid>
        <w:gridCol w:w="3120"/>
        <w:gridCol w:w="3120"/>
        <w:gridCol w:w="3120"/>
      </w:tblGrid>
      <w:tr w:rsidR="00AF58BD" w:rsidRPr="002A5AE2" w14:paraId="3AC28C38" w14:textId="77777777">
        <w:trPr>
          <w:tblHeader/>
        </w:trPr>
        <w:tc>
          <w:tcPr>
            <w:tcW w:w="3120" w:type="dxa"/>
            <w:shd w:val="clear" w:color="auto" w:fill="F2F2F2"/>
          </w:tcPr>
          <w:p w14:paraId="11BF0646"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Research question</w:t>
            </w:r>
          </w:p>
        </w:tc>
        <w:tc>
          <w:tcPr>
            <w:tcW w:w="3120" w:type="dxa"/>
            <w:shd w:val="clear" w:color="auto" w:fill="F2F2F2"/>
          </w:tcPr>
          <w:p w14:paraId="68606233"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Expected result</w:t>
            </w:r>
          </w:p>
        </w:tc>
        <w:tc>
          <w:tcPr>
            <w:tcW w:w="3120" w:type="dxa"/>
            <w:shd w:val="clear" w:color="auto" w:fill="F2F2F2"/>
          </w:tcPr>
          <w:p w14:paraId="54A43643"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Who uses it</w:t>
            </w:r>
          </w:p>
        </w:tc>
      </w:tr>
      <w:tr w:rsidR="00AF58BD" w:rsidRPr="002A5AE2" w14:paraId="0071D3B4" w14:textId="77777777">
        <w:tc>
          <w:tcPr>
            <w:tcW w:w="3120" w:type="dxa"/>
          </w:tcPr>
          <w:p w14:paraId="548A1F0D"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RQ1</w:t>
            </w:r>
          </w:p>
        </w:tc>
        <w:tc>
          <w:tcPr>
            <w:tcW w:w="3120" w:type="dxa"/>
          </w:tcPr>
          <w:p w14:paraId="51D62657"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A typology of parent-roll import profiles (e.g., certified high-value, conventional low-value, mixed) with the share of proxy-sustainable records in each</w:t>
            </w:r>
          </w:p>
        </w:tc>
        <w:tc>
          <w:tcPr>
            <w:tcW w:w="3120" w:type="dxa"/>
          </w:tcPr>
          <w:p w14:paraId="1F89B1AC"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MINAM, PRODUCE, researchers</w:t>
            </w:r>
          </w:p>
        </w:tc>
      </w:tr>
      <w:tr w:rsidR="00AF58BD" w:rsidRPr="002A5AE2" w14:paraId="168CF86A" w14:textId="77777777">
        <w:tc>
          <w:tcPr>
            <w:tcW w:w="3120" w:type="dxa"/>
          </w:tcPr>
          <w:p w14:paraId="29D3470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RQ2</w:t>
            </w:r>
          </w:p>
        </w:tc>
        <w:tc>
          <w:tcPr>
            <w:tcW w:w="3120" w:type="dxa"/>
          </w:tcPr>
          <w:p w14:paraId="2959B370"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A ranking of customs variables that predict the sustainability proxy, with SHAP explanations of direction and size</w:t>
            </w:r>
          </w:p>
        </w:tc>
        <w:tc>
          <w:tcPr>
            <w:tcW w:w="3120" w:type="dxa"/>
          </w:tcPr>
          <w:p w14:paraId="71459C60"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SUNAT risk management, MINCETUR</w:t>
            </w:r>
          </w:p>
        </w:tc>
      </w:tr>
      <w:tr w:rsidR="00AF58BD" w:rsidRPr="002A5AE2" w14:paraId="06F2A536" w14:textId="77777777">
        <w:tc>
          <w:tcPr>
            <w:tcW w:w="3120" w:type="dxa"/>
          </w:tcPr>
          <w:p w14:paraId="3922BB2C" w14:textId="77777777" w:rsidR="00AF58BD" w:rsidRPr="002A5AE2" w:rsidRDefault="00000000" w:rsidP="002A5AE2">
            <w:pPr>
              <w:jc w:val="both"/>
              <w:rPr>
                <w:rFonts w:ascii="Arial" w:hAnsi="Arial" w:cs="Arial"/>
                <w:sz w:val="24"/>
                <w:szCs w:val="24"/>
              </w:rPr>
            </w:pPr>
            <w:r>
              <w:rPr>
                <w:rFonts w:ascii="Arial" w:hAnsi="Arial" w:cs="Arial"/>
                <w:sz w:val="24"/>
                <w:szCs w:val="24"/>
              </w:rPr>
              <w:t>RQ3</w:t>
            </w:r>
          </w:p>
        </w:tc>
        <w:tc>
          <w:tcPr>
            <w:tcW w:w="3120" w:type="dxa"/>
          </w:tcPr>
          <w:p w14:paraId="04735776" w14:textId="77777777" w:rsidR="00AF58BD" w:rsidRPr="002A5AE2" w:rsidRDefault="00000000" w:rsidP="002A5AE2">
            <w:pPr>
              <w:jc w:val="both"/>
              <w:rPr>
                <w:rFonts w:ascii="Arial" w:hAnsi="Arial" w:cs="Arial"/>
                <w:sz w:val="24"/>
                <w:szCs w:val="24"/>
              </w:rPr>
            </w:pPr>
            <w:r>
              <w:rPr>
                <w:rFonts w:ascii="Arial" w:hAnsi="Arial" w:cs="Arial"/>
                <w:sz w:val="24"/>
                <w:szCs w:val="24"/>
              </w:rPr>
              <w:t>The trend of proxy-indicated sustainable imports between 2020 and 2025, with its statistical test</w:t>
            </w:r>
          </w:p>
        </w:tc>
        <w:tc>
          <w:tcPr>
            <w:tcW w:w="3120" w:type="dxa"/>
          </w:tcPr>
          <w:p w14:paraId="57EF007D" w14:textId="77777777" w:rsidR="00AF58BD" w:rsidRPr="002A5AE2" w:rsidRDefault="00000000" w:rsidP="002A5AE2">
            <w:pPr>
              <w:jc w:val="both"/>
              <w:rPr>
                <w:rFonts w:ascii="Arial" w:hAnsi="Arial" w:cs="Arial"/>
                <w:sz w:val="24"/>
                <w:szCs w:val="24"/>
              </w:rPr>
            </w:pPr>
            <w:r>
              <w:rPr>
                <w:rFonts w:ascii="Arial" w:hAnsi="Arial" w:cs="Arial"/>
                <w:sz w:val="24"/>
                <w:szCs w:val="24"/>
              </w:rPr>
              <w:t>MINAM, PRODUCE, MINCETUR</w:t>
            </w:r>
          </w:p>
        </w:tc>
      </w:tr>
    </w:tbl>
    <w:p w14:paraId="6020CC53"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t>Additional outputs.</w:t>
      </w:r>
    </w:p>
    <w:p w14:paraId="654B7C65" w14:textId="77777777" w:rsidR="00AF58BD" w:rsidRPr="002A5AE2" w:rsidRDefault="00000000" w:rsidP="002A5AE2">
      <w:pPr>
        <w:pStyle w:val="Prrafodelista"/>
        <w:numPr>
          <w:ilvl w:val="0"/>
          <w:numId w:val="10"/>
        </w:numPr>
        <w:jc w:val="both"/>
        <w:rPr>
          <w:rFonts w:ascii="Arial" w:hAnsi="Arial" w:cs="Arial"/>
          <w:sz w:val="24"/>
          <w:szCs w:val="24"/>
        </w:rPr>
      </w:pPr>
      <w:r w:rsidRPr="002A5AE2">
        <w:rPr>
          <w:rFonts w:ascii="Arial" w:hAnsi="Arial" w:cs="Arial"/>
          <w:sz w:val="24"/>
          <w:szCs w:val="24"/>
        </w:rPr>
        <w:t>A cleaned, anonymized and proxy-labeled dataset with a codebook, replicable in other sectors or Latin American countries.</w:t>
      </w:r>
    </w:p>
    <w:p w14:paraId="1BF00C48" w14:textId="77777777" w:rsidR="00AF58BD" w:rsidRPr="002A5AE2" w:rsidRDefault="00000000" w:rsidP="002A5AE2">
      <w:pPr>
        <w:pStyle w:val="Prrafodelista"/>
        <w:numPr>
          <w:ilvl w:val="0"/>
          <w:numId w:val="10"/>
        </w:numPr>
        <w:jc w:val="both"/>
        <w:rPr>
          <w:rFonts w:ascii="Arial" w:hAnsi="Arial" w:cs="Arial"/>
          <w:sz w:val="24"/>
          <w:szCs w:val="24"/>
        </w:rPr>
      </w:pPr>
      <w:r w:rsidRPr="002A5AE2">
        <w:rPr>
          <w:rFonts w:ascii="Arial" w:hAnsi="Arial" w:cs="Arial"/>
          <w:sz w:val="24"/>
          <w:szCs w:val="24"/>
        </w:rPr>
        <w:t>Recommendations for green public procurement, differentiated customs incentives, and a proposal of environmental fields that SUNAT could add to import declarations.</w:t>
      </w:r>
    </w:p>
    <w:p w14:paraId="6313D49C" w14:textId="77777777" w:rsidR="00AF58BD" w:rsidRPr="002A5AE2" w:rsidRDefault="00000000" w:rsidP="002A5AE2">
      <w:pPr>
        <w:pStyle w:val="Prrafodelista"/>
        <w:numPr>
          <w:ilvl w:val="0"/>
          <w:numId w:val="10"/>
        </w:numPr>
        <w:jc w:val="both"/>
        <w:rPr>
          <w:rFonts w:ascii="Arial" w:hAnsi="Arial" w:cs="Arial"/>
          <w:sz w:val="24"/>
          <w:szCs w:val="24"/>
        </w:rPr>
      </w:pPr>
      <w:r w:rsidRPr="002A5AE2">
        <w:rPr>
          <w:rFonts w:ascii="Arial" w:hAnsi="Arial" w:cs="Arial"/>
          <w:sz w:val="24"/>
          <w:szCs w:val="24"/>
        </w:rPr>
        <w:t xml:space="preserve">Two to three articles submitted to </w:t>
      </w:r>
      <w:r w:rsidRPr="002A5AE2">
        <w:rPr>
          <w:rFonts w:ascii="Arial" w:hAnsi="Arial" w:cs="Arial"/>
          <w:i/>
          <w:sz w:val="24"/>
          <w:szCs w:val="24"/>
        </w:rPr>
        <w:t>Sustainability</w:t>
      </w:r>
      <w:r w:rsidRPr="002A5AE2">
        <w:rPr>
          <w:rFonts w:ascii="Arial" w:hAnsi="Arial" w:cs="Arial"/>
          <w:sz w:val="24"/>
          <w:szCs w:val="24"/>
        </w:rPr>
        <w:t xml:space="preserve"> (MDPI), </w:t>
      </w:r>
      <w:r w:rsidRPr="002A5AE2">
        <w:rPr>
          <w:rFonts w:ascii="Arial" w:hAnsi="Arial" w:cs="Arial"/>
          <w:i/>
          <w:sz w:val="24"/>
          <w:szCs w:val="24"/>
        </w:rPr>
        <w:t>Journal of Cleaner Production</w:t>
      </w:r>
      <w:r w:rsidRPr="002A5AE2">
        <w:rPr>
          <w:rFonts w:ascii="Arial" w:hAnsi="Arial" w:cs="Arial"/>
          <w:sz w:val="24"/>
          <w:szCs w:val="24"/>
        </w:rPr>
        <w:t xml:space="preserve"> or </w:t>
      </w:r>
      <w:r w:rsidRPr="002A5AE2">
        <w:rPr>
          <w:rFonts w:ascii="Arial" w:hAnsi="Arial" w:cs="Arial"/>
          <w:i/>
          <w:sz w:val="24"/>
          <w:szCs w:val="24"/>
        </w:rPr>
        <w:t>Environmental Science &amp; Policy</w:t>
      </w:r>
      <w:r w:rsidRPr="002A5AE2">
        <w:rPr>
          <w:rFonts w:ascii="Arial" w:hAnsi="Arial" w:cs="Arial"/>
          <w:sz w:val="24"/>
          <w:szCs w:val="24"/>
        </w:rPr>
        <w:t>, plus the doctoral thesis.</w:t>
      </w:r>
    </w:p>
    <w:p w14:paraId="0AD05631" w14:textId="77777777" w:rsidR="00AF58BD" w:rsidRPr="002A5AE2" w:rsidRDefault="00000000" w:rsidP="002A5AE2">
      <w:pPr>
        <w:jc w:val="both"/>
        <w:rPr>
          <w:rFonts w:ascii="Arial" w:hAnsi="Arial" w:cs="Arial"/>
          <w:sz w:val="24"/>
          <w:szCs w:val="24"/>
        </w:rPr>
      </w:pPr>
      <w:r>
        <w:rPr>
          <w:rFonts w:ascii="Arial" w:hAnsi="Arial" w:cs="Arial"/>
          <w:b/>
          <w:sz w:val="24"/>
          <w:szCs w:val="24"/>
        </w:rPr>
        <w:t>Anticipated limitation.</w:t>
      </w:r>
      <w:r>
        <w:rPr>
          <w:rFonts w:ascii="Arial" w:hAnsi="Arial" w:cs="Arial"/>
          <w:sz w:val="24"/>
          <w:szCs w:val="24"/>
        </w:rPr>
        <w:t xml:space="preserve"> Proxy validity is the main expected challenge. If the two-rater audit shows low agreement, or a proxy fails the registry check, it will be dropped or redefined and the results reported with and without it. The study measures which patterns exist, not why actors create them.</w:t>
      </w:r>
    </w:p>
    <w:p w14:paraId="75875064" w14:textId="77777777" w:rsidR="00AF58BD" w:rsidRPr="002A5AE2" w:rsidRDefault="00000000" w:rsidP="002A5AE2">
      <w:pPr>
        <w:pStyle w:val="Ttulo2"/>
        <w:jc w:val="both"/>
        <w:rPr>
          <w:rFonts w:ascii="Arial" w:hAnsi="Arial" w:cs="Arial"/>
          <w:sz w:val="24"/>
          <w:szCs w:val="24"/>
        </w:rPr>
      </w:pPr>
      <w:r w:rsidRPr="002A5AE2">
        <w:rPr>
          <w:rFonts w:ascii="Arial" w:hAnsi="Arial" w:cs="Arial"/>
          <w:sz w:val="24"/>
          <w:szCs w:val="24"/>
        </w:rPr>
        <w:t>09 · Timeline &amp; Budget</w:t>
      </w:r>
    </w:p>
    <w:p w14:paraId="63240E2D" w14:textId="77777777" w:rsidR="00AF58BD" w:rsidRPr="002A5AE2" w:rsidRDefault="00000000" w:rsidP="002A5AE2">
      <w:pPr>
        <w:pStyle w:val="Ttulo3"/>
        <w:jc w:val="both"/>
        <w:rPr>
          <w:rFonts w:ascii="Arial" w:hAnsi="Arial" w:cs="Arial"/>
          <w:szCs w:val="24"/>
        </w:rPr>
      </w:pPr>
      <w:r>
        <w:rPr>
          <w:rFonts w:ascii="Arial" w:hAnsi="Arial" w:cs="Arial"/>
          <w:szCs w:val="24"/>
        </w:rPr>
        <w:t>Timeline (18 months)</w:t>
      </w:r>
    </w:p>
    <w:p w14:paraId="7940CC4E" w14:textId="77777777" w:rsidR="00AF58BD" w:rsidRPr="002A5AE2" w:rsidRDefault="00000000" w:rsidP="002A5AE2">
      <w:pPr>
        <w:jc w:val="both"/>
        <w:rPr>
          <w:rFonts w:ascii="Arial" w:hAnsi="Arial" w:cs="Arial"/>
          <w:sz w:val="24"/>
          <w:szCs w:val="24"/>
        </w:rPr>
      </w:pPr>
      <w:r>
        <w:rPr>
          <w:rFonts w:ascii="Arial" w:hAnsi="Arial" w:cs="Arial"/>
          <w:sz w:val="24"/>
          <w:szCs w:val="24"/>
        </w:rPr>
        <w:t>Data for January 2020 – December 2025 are already available and cleaned. The 2020–2024 data are used for training and validation, and 2025 is reserved as the final test set.</w:t>
      </w:r>
    </w:p>
    <w:tbl>
      <w:tblPr>
        <w:tblStyle w:val="Tablaconcuadrcula"/>
        <w:tblW w:w="0" w:type="auto"/>
        <w:tblLayout w:type="fixed"/>
        <w:tblLook w:val="0420" w:firstRow="1" w:lastRow="0" w:firstColumn="0" w:lastColumn="0" w:noHBand="0" w:noVBand="1"/>
      </w:tblPr>
      <w:tblGrid>
        <w:gridCol w:w="3120"/>
        <w:gridCol w:w="3120"/>
        <w:gridCol w:w="3120"/>
      </w:tblGrid>
      <w:tr w:rsidR="00AF58BD" w:rsidRPr="002A5AE2" w14:paraId="6ACA0638" w14:textId="77777777">
        <w:trPr>
          <w:tblHeader/>
        </w:trPr>
        <w:tc>
          <w:tcPr>
            <w:tcW w:w="3120" w:type="dxa"/>
            <w:shd w:val="clear" w:color="auto" w:fill="F2F2F2"/>
          </w:tcPr>
          <w:p w14:paraId="45EAC51F"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Months</w:t>
            </w:r>
          </w:p>
        </w:tc>
        <w:tc>
          <w:tcPr>
            <w:tcW w:w="3120" w:type="dxa"/>
            <w:shd w:val="clear" w:color="auto" w:fill="F2F2F2"/>
          </w:tcPr>
          <w:p w14:paraId="5A99089B"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Activity</w:t>
            </w:r>
          </w:p>
        </w:tc>
        <w:tc>
          <w:tcPr>
            <w:tcW w:w="3120" w:type="dxa"/>
            <w:shd w:val="clear" w:color="auto" w:fill="F2F2F2"/>
          </w:tcPr>
          <w:p w14:paraId="3BEC140D"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Deliverable</w:t>
            </w:r>
          </w:p>
        </w:tc>
      </w:tr>
      <w:tr w:rsidR="00AF58BD" w:rsidRPr="002A5AE2" w14:paraId="6341AB56" w14:textId="77777777">
        <w:tc>
          <w:tcPr>
            <w:tcW w:w="3120" w:type="dxa"/>
          </w:tcPr>
          <w:p w14:paraId="635D87D4" w14:textId="77777777" w:rsidR="00AF58BD" w:rsidRPr="002A5AE2" w:rsidRDefault="00000000" w:rsidP="002A5AE2">
            <w:pPr>
              <w:jc w:val="both"/>
              <w:rPr>
                <w:rFonts w:ascii="Arial" w:hAnsi="Arial" w:cs="Arial"/>
                <w:sz w:val="24"/>
                <w:szCs w:val="24"/>
              </w:rPr>
            </w:pPr>
            <w:r>
              <w:rPr>
                <w:rFonts w:ascii="Arial" w:hAnsi="Arial" w:cs="Arial"/>
                <w:sz w:val="24"/>
                <w:szCs w:val="24"/>
              </w:rPr>
              <w:t>1–3</w:t>
            </w:r>
          </w:p>
        </w:tc>
        <w:tc>
          <w:tcPr>
            <w:tcW w:w="3120" w:type="dxa"/>
          </w:tcPr>
          <w:p w14:paraId="1630C907" w14:textId="77777777" w:rsidR="00AF58BD" w:rsidRPr="002A5AE2" w:rsidRDefault="00000000" w:rsidP="002A5AE2">
            <w:pPr>
              <w:jc w:val="both"/>
              <w:rPr>
                <w:rFonts w:ascii="Arial" w:hAnsi="Arial" w:cs="Arial"/>
                <w:sz w:val="24"/>
                <w:szCs w:val="24"/>
              </w:rPr>
            </w:pPr>
            <w:r>
              <w:rPr>
                <w:rFonts w:ascii="Arial" w:hAnsi="Arial" w:cs="Arial"/>
                <w:sz w:val="24"/>
                <w:szCs w:val="24"/>
              </w:rPr>
              <w:t>Final literature review (Scopus, Web of Science, Semantic Scholar); confirm Veritrade terms of use; register hypotheses and thresholds</w:t>
            </w:r>
          </w:p>
        </w:tc>
        <w:tc>
          <w:tcPr>
            <w:tcW w:w="3120" w:type="dxa"/>
          </w:tcPr>
          <w:p w14:paraId="689CD26E" w14:textId="77777777" w:rsidR="00AF58BD" w:rsidRPr="002A5AE2" w:rsidRDefault="00000000" w:rsidP="002A5AE2">
            <w:pPr>
              <w:jc w:val="both"/>
              <w:rPr>
                <w:rFonts w:ascii="Arial" w:hAnsi="Arial" w:cs="Arial"/>
                <w:sz w:val="24"/>
                <w:szCs w:val="24"/>
              </w:rPr>
            </w:pPr>
            <w:r>
              <w:rPr>
                <w:rFonts w:ascii="Arial" w:hAnsi="Arial" w:cs="Arial"/>
                <w:sz w:val="24"/>
                <w:szCs w:val="24"/>
              </w:rPr>
              <w:t>Approved protocol; pre-registration</w:t>
            </w:r>
          </w:p>
        </w:tc>
      </w:tr>
      <w:tr w:rsidR="00AF58BD" w:rsidRPr="002A5AE2" w14:paraId="2514CEE3" w14:textId="77777777">
        <w:tc>
          <w:tcPr>
            <w:tcW w:w="3120" w:type="dxa"/>
          </w:tcPr>
          <w:p w14:paraId="6956F93A" w14:textId="77777777" w:rsidR="00AF58BD" w:rsidRPr="002A5AE2" w:rsidRDefault="00000000" w:rsidP="002A5AE2">
            <w:pPr>
              <w:jc w:val="both"/>
              <w:rPr>
                <w:rFonts w:ascii="Arial" w:hAnsi="Arial" w:cs="Arial"/>
                <w:sz w:val="24"/>
                <w:szCs w:val="24"/>
              </w:rPr>
            </w:pPr>
            <w:r>
              <w:rPr>
                <w:rFonts w:ascii="Arial" w:hAnsi="Arial" w:cs="Arial"/>
                <w:sz w:val="24"/>
                <w:szCs w:val="24"/>
              </w:rPr>
              <w:t>3–6</w:t>
            </w:r>
          </w:p>
        </w:tc>
        <w:tc>
          <w:tcPr>
            <w:tcW w:w="3120" w:type="dxa"/>
          </w:tcPr>
          <w:p w14:paraId="48A410FE" w14:textId="77777777" w:rsidR="00AF58BD" w:rsidRPr="002A5AE2" w:rsidRDefault="00000000" w:rsidP="002A5AE2">
            <w:pPr>
              <w:jc w:val="both"/>
              <w:rPr>
                <w:rFonts w:ascii="Arial" w:hAnsi="Arial" w:cs="Arial"/>
                <w:sz w:val="24"/>
                <w:szCs w:val="24"/>
              </w:rPr>
            </w:pPr>
            <w:r>
              <w:rPr>
                <w:rFonts w:ascii="Arial" w:hAnsi="Arial" w:cs="Arial"/>
                <w:sz w:val="24"/>
                <w:szCs w:val="24"/>
              </w:rPr>
              <w:t>Cleaning of 2020–2025 data; proxy dictionaries; two-rater label audit; FSC/PEFC registry check</w:t>
            </w:r>
          </w:p>
        </w:tc>
        <w:tc>
          <w:tcPr>
            <w:tcW w:w="3120" w:type="dxa"/>
          </w:tcPr>
          <w:p w14:paraId="592CC1D4" w14:textId="77777777" w:rsidR="00AF58BD" w:rsidRPr="002A5AE2" w:rsidRDefault="00000000" w:rsidP="002A5AE2">
            <w:pPr>
              <w:jc w:val="both"/>
              <w:rPr>
                <w:rFonts w:ascii="Arial" w:hAnsi="Arial" w:cs="Arial"/>
                <w:sz w:val="24"/>
                <w:szCs w:val="24"/>
              </w:rPr>
            </w:pPr>
            <w:r>
              <w:rPr>
                <w:rFonts w:ascii="Arial" w:hAnsi="Arial" w:cs="Arial"/>
                <w:sz w:val="24"/>
                <w:szCs w:val="24"/>
              </w:rPr>
              <w:t>Clean dataset; codebook; kappa report</w:t>
            </w:r>
          </w:p>
        </w:tc>
      </w:tr>
      <w:tr w:rsidR="00AF58BD" w:rsidRPr="002A5AE2" w14:paraId="424C7937" w14:textId="77777777">
        <w:tc>
          <w:tcPr>
            <w:tcW w:w="3120" w:type="dxa"/>
          </w:tcPr>
          <w:p w14:paraId="2A51B162" w14:textId="77777777" w:rsidR="00AF58BD" w:rsidRPr="002A5AE2" w:rsidRDefault="00000000" w:rsidP="002A5AE2">
            <w:pPr>
              <w:jc w:val="both"/>
              <w:rPr>
                <w:rFonts w:ascii="Arial" w:hAnsi="Arial" w:cs="Arial"/>
                <w:sz w:val="24"/>
                <w:szCs w:val="24"/>
              </w:rPr>
            </w:pPr>
            <w:r>
              <w:rPr>
                <w:rFonts w:ascii="Arial" w:hAnsi="Arial" w:cs="Arial"/>
                <w:sz w:val="24"/>
                <w:szCs w:val="24"/>
              </w:rPr>
              <w:t>7–9</w:t>
            </w:r>
          </w:p>
        </w:tc>
        <w:tc>
          <w:tcPr>
            <w:tcW w:w="3120" w:type="dxa"/>
          </w:tcPr>
          <w:p w14:paraId="1B0ECB0E" w14:textId="77777777" w:rsidR="00AF58BD" w:rsidRPr="002A5AE2" w:rsidRDefault="00000000" w:rsidP="002A5AE2">
            <w:pPr>
              <w:jc w:val="both"/>
              <w:rPr>
                <w:rFonts w:ascii="Arial" w:hAnsi="Arial" w:cs="Arial"/>
                <w:sz w:val="24"/>
                <w:szCs w:val="24"/>
              </w:rPr>
            </w:pPr>
            <w:r>
              <w:rPr>
                <w:rFonts w:ascii="Arial" w:hAnsi="Arial" w:cs="Arial"/>
                <w:sz w:val="24"/>
                <w:szCs w:val="24"/>
              </w:rPr>
              <w:t>Isolation Forest; K-Means profiles; XGBoost + SHAP vs. baselines (training on 2020–2024)</w:t>
            </w:r>
          </w:p>
        </w:tc>
        <w:tc>
          <w:tcPr>
            <w:tcW w:w="3120" w:type="dxa"/>
          </w:tcPr>
          <w:p w14:paraId="21909262" w14:textId="77777777" w:rsidR="00AF58BD" w:rsidRPr="002A5AE2" w:rsidRDefault="00000000" w:rsidP="002A5AE2">
            <w:pPr>
              <w:jc w:val="both"/>
              <w:rPr>
                <w:rFonts w:ascii="Arial" w:hAnsi="Arial" w:cs="Arial"/>
                <w:sz w:val="24"/>
                <w:szCs w:val="24"/>
              </w:rPr>
            </w:pPr>
            <w:r>
              <w:rPr>
                <w:rFonts w:ascii="Arial" w:hAnsi="Arial" w:cs="Arial"/>
                <w:sz w:val="24"/>
                <w:szCs w:val="24"/>
              </w:rPr>
              <w:t>Import-profile typology; SHAP ranking</w:t>
            </w:r>
          </w:p>
        </w:tc>
      </w:tr>
      <w:tr w:rsidR="00AF58BD" w:rsidRPr="002A5AE2" w14:paraId="3EE4B1CE" w14:textId="77777777">
        <w:tc>
          <w:tcPr>
            <w:tcW w:w="3120" w:type="dxa"/>
          </w:tcPr>
          <w:p w14:paraId="0AD314FE" w14:textId="77777777" w:rsidR="00AF58BD" w:rsidRPr="002A5AE2" w:rsidRDefault="00000000" w:rsidP="002A5AE2">
            <w:pPr>
              <w:jc w:val="both"/>
              <w:rPr>
                <w:rFonts w:ascii="Arial" w:hAnsi="Arial" w:cs="Arial"/>
                <w:sz w:val="24"/>
                <w:szCs w:val="24"/>
              </w:rPr>
            </w:pPr>
            <w:r>
              <w:rPr>
                <w:rFonts w:ascii="Arial" w:hAnsi="Arial" w:cs="Arial"/>
                <w:sz w:val="24"/>
                <w:szCs w:val="24"/>
              </w:rPr>
              <w:t>10–11</w:t>
            </w:r>
          </w:p>
        </w:tc>
        <w:tc>
          <w:tcPr>
            <w:tcW w:w="3120" w:type="dxa"/>
          </w:tcPr>
          <w:p w14:paraId="5ED8F7DD" w14:textId="77777777" w:rsidR="00AF58BD" w:rsidRPr="002A5AE2" w:rsidRDefault="00000000" w:rsidP="002A5AE2">
            <w:pPr>
              <w:jc w:val="both"/>
              <w:rPr>
                <w:rFonts w:ascii="Arial" w:hAnsi="Arial" w:cs="Arial"/>
                <w:sz w:val="24"/>
                <w:szCs w:val="24"/>
              </w:rPr>
            </w:pPr>
            <w:r>
              <w:rPr>
                <w:rFonts w:ascii="Arial" w:hAnsi="Arial" w:cs="Arial"/>
                <w:sz w:val="24"/>
                <w:szCs w:val="24"/>
              </w:rPr>
              <w:t>Final test on 2025 data; hypothesis tests (H1–H5); sensitivity analyses</w:t>
            </w:r>
          </w:p>
        </w:tc>
        <w:tc>
          <w:tcPr>
            <w:tcW w:w="3120" w:type="dxa"/>
          </w:tcPr>
          <w:p w14:paraId="44A9BDD7" w14:textId="77777777" w:rsidR="00AF58BD" w:rsidRPr="002A5AE2" w:rsidRDefault="00000000" w:rsidP="002A5AE2">
            <w:pPr>
              <w:jc w:val="both"/>
              <w:rPr>
                <w:rFonts w:ascii="Arial" w:hAnsi="Arial" w:cs="Arial"/>
                <w:sz w:val="24"/>
                <w:szCs w:val="24"/>
              </w:rPr>
            </w:pPr>
            <w:r>
              <w:rPr>
                <w:rFonts w:ascii="Arial" w:hAnsi="Arial" w:cs="Arial"/>
                <w:sz w:val="24"/>
                <w:szCs w:val="24"/>
              </w:rPr>
              <w:t>Test results; robustness report</w:t>
            </w:r>
          </w:p>
        </w:tc>
      </w:tr>
      <w:tr w:rsidR="00AF58BD" w:rsidRPr="002A5AE2" w14:paraId="5EE1A940" w14:textId="77777777">
        <w:tc>
          <w:tcPr>
            <w:tcW w:w="3120" w:type="dxa"/>
          </w:tcPr>
          <w:p w14:paraId="6685F75D" w14:textId="77777777" w:rsidR="00AF58BD" w:rsidRPr="002A5AE2" w:rsidRDefault="00000000" w:rsidP="002A5AE2">
            <w:pPr>
              <w:jc w:val="both"/>
              <w:rPr>
                <w:rFonts w:ascii="Arial" w:hAnsi="Arial" w:cs="Arial"/>
                <w:sz w:val="24"/>
                <w:szCs w:val="24"/>
              </w:rPr>
            </w:pPr>
            <w:r>
              <w:rPr>
                <w:rFonts w:ascii="Arial" w:hAnsi="Arial" w:cs="Arial"/>
                <w:sz w:val="24"/>
                <w:szCs w:val="24"/>
              </w:rPr>
              <w:t>12–13</w:t>
            </w:r>
          </w:p>
        </w:tc>
        <w:tc>
          <w:tcPr>
            <w:tcW w:w="3120" w:type="dxa"/>
          </w:tcPr>
          <w:p w14:paraId="3C6F8839" w14:textId="77777777" w:rsidR="00AF58BD" w:rsidRPr="002A5AE2" w:rsidRDefault="00000000" w:rsidP="002A5AE2">
            <w:pPr>
              <w:jc w:val="both"/>
              <w:rPr>
                <w:rFonts w:ascii="Arial" w:hAnsi="Arial" w:cs="Arial"/>
                <w:sz w:val="24"/>
                <w:szCs w:val="24"/>
              </w:rPr>
            </w:pPr>
            <w:r>
              <w:rPr>
                <w:rFonts w:ascii="Arial" w:hAnsi="Arial" w:cs="Arial"/>
                <w:sz w:val="24"/>
                <w:szCs w:val="24"/>
              </w:rPr>
              <w:t>Model Card, Datasheet and reproducibility package on GitHub</w:t>
            </w:r>
          </w:p>
        </w:tc>
        <w:tc>
          <w:tcPr>
            <w:tcW w:w="3120" w:type="dxa"/>
          </w:tcPr>
          <w:p w14:paraId="1DC9B997" w14:textId="77777777" w:rsidR="00AF58BD" w:rsidRPr="002A5AE2" w:rsidRDefault="00000000" w:rsidP="002A5AE2">
            <w:pPr>
              <w:jc w:val="both"/>
              <w:rPr>
                <w:rFonts w:ascii="Arial" w:hAnsi="Arial" w:cs="Arial"/>
                <w:sz w:val="24"/>
                <w:szCs w:val="24"/>
              </w:rPr>
            </w:pPr>
            <w:r>
              <w:rPr>
                <w:rFonts w:ascii="Arial" w:hAnsi="Arial" w:cs="Arial"/>
                <w:sz w:val="24"/>
                <w:szCs w:val="24"/>
              </w:rPr>
              <w:t>Reproducible repository</w:t>
            </w:r>
          </w:p>
        </w:tc>
      </w:tr>
      <w:tr w:rsidR="00AF58BD" w:rsidRPr="002A5AE2" w14:paraId="297D0370" w14:textId="77777777">
        <w:tc>
          <w:tcPr>
            <w:tcW w:w="3120" w:type="dxa"/>
          </w:tcPr>
          <w:p w14:paraId="1226DC76" w14:textId="77777777" w:rsidR="00AF58BD" w:rsidRPr="002A5AE2" w:rsidRDefault="00000000" w:rsidP="002A5AE2">
            <w:pPr>
              <w:jc w:val="both"/>
              <w:rPr>
                <w:rFonts w:ascii="Arial" w:hAnsi="Arial" w:cs="Arial"/>
                <w:sz w:val="24"/>
                <w:szCs w:val="24"/>
              </w:rPr>
            </w:pPr>
            <w:r>
              <w:rPr>
                <w:rFonts w:ascii="Arial" w:hAnsi="Arial" w:cs="Arial"/>
                <w:sz w:val="24"/>
                <w:szCs w:val="24"/>
              </w:rPr>
              <w:t>13–16</w:t>
            </w:r>
          </w:p>
        </w:tc>
        <w:tc>
          <w:tcPr>
            <w:tcW w:w="3120" w:type="dxa"/>
          </w:tcPr>
          <w:p w14:paraId="77E45708" w14:textId="77777777" w:rsidR="00AF58BD" w:rsidRPr="002A5AE2" w:rsidRDefault="00000000" w:rsidP="002A5AE2">
            <w:pPr>
              <w:jc w:val="both"/>
              <w:rPr>
                <w:rFonts w:ascii="Arial" w:hAnsi="Arial" w:cs="Arial"/>
                <w:sz w:val="24"/>
                <w:szCs w:val="24"/>
              </w:rPr>
            </w:pPr>
            <w:r>
              <w:rPr>
                <w:rFonts w:ascii="Arial" w:hAnsi="Arial" w:cs="Arial"/>
                <w:sz w:val="24"/>
                <w:szCs w:val="24"/>
              </w:rPr>
              <w:t>Article writing and submission</w:t>
            </w:r>
          </w:p>
        </w:tc>
        <w:tc>
          <w:tcPr>
            <w:tcW w:w="3120" w:type="dxa"/>
          </w:tcPr>
          <w:p w14:paraId="0DEBC8A4" w14:textId="77777777" w:rsidR="00AF58BD" w:rsidRPr="002A5AE2" w:rsidRDefault="00000000" w:rsidP="002A5AE2">
            <w:pPr>
              <w:jc w:val="both"/>
              <w:rPr>
                <w:rFonts w:ascii="Arial" w:hAnsi="Arial" w:cs="Arial"/>
                <w:sz w:val="24"/>
                <w:szCs w:val="24"/>
              </w:rPr>
            </w:pPr>
            <w:r>
              <w:rPr>
                <w:rFonts w:ascii="Arial" w:hAnsi="Arial" w:cs="Arial"/>
                <w:sz w:val="24"/>
                <w:szCs w:val="24"/>
              </w:rPr>
              <w:t>1–2 manuscripts submitted</w:t>
            </w:r>
          </w:p>
        </w:tc>
      </w:tr>
      <w:tr w:rsidR="00AF58BD" w:rsidRPr="002A5AE2" w14:paraId="0726EF80" w14:textId="77777777">
        <w:tc>
          <w:tcPr>
            <w:tcW w:w="3120" w:type="dxa"/>
          </w:tcPr>
          <w:p w14:paraId="3BF99A95" w14:textId="77777777" w:rsidR="00AF58BD" w:rsidRPr="002A5AE2" w:rsidRDefault="00000000" w:rsidP="002A5AE2">
            <w:pPr>
              <w:jc w:val="both"/>
              <w:rPr>
                <w:rFonts w:ascii="Arial" w:hAnsi="Arial" w:cs="Arial"/>
                <w:sz w:val="24"/>
                <w:szCs w:val="24"/>
              </w:rPr>
            </w:pPr>
            <w:r>
              <w:rPr>
                <w:rFonts w:ascii="Arial" w:hAnsi="Arial" w:cs="Arial"/>
                <w:sz w:val="24"/>
                <w:szCs w:val="24"/>
              </w:rPr>
              <w:t>15–18</w:t>
            </w:r>
          </w:p>
        </w:tc>
        <w:tc>
          <w:tcPr>
            <w:tcW w:w="3120" w:type="dxa"/>
          </w:tcPr>
          <w:p w14:paraId="71AC1720" w14:textId="77777777" w:rsidR="00AF58BD" w:rsidRPr="002A5AE2" w:rsidRDefault="00000000" w:rsidP="002A5AE2">
            <w:pPr>
              <w:jc w:val="both"/>
              <w:rPr>
                <w:rFonts w:ascii="Arial" w:hAnsi="Arial" w:cs="Arial"/>
                <w:sz w:val="24"/>
                <w:szCs w:val="24"/>
              </w:rPr>
            </w:pPr>
            <w:r>
              <w:rPr>
                <w:rFonts w:ascii="Arial" w:hAnsi="Arial" w:cs="Arial"/>
                <w:sz w:val="24"/>
                <w:szCs w:val="24"/>
              </w:rPr>
              <w:t>Thesis writing, policy recommendations, defense</w:t>
            </w:r>
          </w:p>
        </w:tc>
        <w:tc>
          <w:tcPr>
            <w:tcW w:w="3120" w:type="dxa"/>
          </w:tcPr>
          <w:p w14:paraId="72000E06" w14:textId="77777777" w:rsidR="00AF58BD" w:rsidRPr="002A5AE2" w:rsidRDefault="00000000" w:rsidP="002A5AE2">
            <w:pPr>
              <w:jc w:val="both"/>
              <w:rPr>
                <w:rFonts w:ascii="Arial" w:hAnsi="Arial" w:cs="Arial"/>
                <w:sz w:val="24"/>
                <w:szCs w:val="24"/>
              </w:rPr>
            </w:pPr>
            <w:r>
              <w:rPr>
                <w:rFonts w:ascii="Arial" w:hAnsi="Arial" w:cs="Arial"/>
                <w:sz w:val="24"/>
                <w:szCs w:val="24"/>
              </w:rPr>
              <w:t>Thesis; policy brief</w:t>
            </w:r>
          </w:p>
        </w:tc>
      </w:tr>
    </w:tbl>
    <w:p w14:paraId="1D27F7A9" w14:textId="77777777" w:rsidR="002A5AE2" w:rsidRPr="002A5AE2" w:rsidRDefault="002A5AE2" w:rsidP="002A5AE2">
      <w:pPr>
        <w:pStyle w:val="Ttulo3"/>
        <w:jc w:val="both"/>
        <w:rPr>
          <w:rFonts w:ascii="Arial" w:hAnsi="Arial" w:cs="Arial"/>
          <w:szCs w:val="24"/>
        </w:rPr>
      </w:pPr>
    </w:p>
    <w:p w14:paraId="3C90C504" w14:textId="1815F36A" w:rsidR="00AF58BD" w:rsidRPr="002A5AE2" w:rsidRDefault="00000000" w:rsidP="002A5AE2">
      <w:pPr>
        <w:pStyle w:val="Ttulo3"/>
        <w:jc w:val="both"/>
        <w:rPr>
          <w:rFonts w:ascii="Arial" w:hAnsi="Arial" w:cs="Arial"/>
          <w:szCs w:val="24"/>
        </w:rPr>
      </w:pPr>
      <w:r w:rsidRPr="002A5AE2">
        <w:rPr>
          <w:rFonts w:ascii="Arial" w:hAnsi="Arial" w:cs="Arial"/>
          <w:szCs w:val="24"/>
        </w:rPr>
        <w:t>Budget (estimated, in soles)</w:t>
      </w:r>
    </w:p>
    <w:tbl>
      <w:tblPr>
        <w:tblStyle w:val="Tablaconcuadrcula"/>
        <w:tblW w:w="0" w:type="auto"/>
        <w:tblLayout w:type="fixed"/>
        <w:tblLook w:val="0420" w:firstRow="1" w:lastRow="0" w:firstColumn="0" w:lastColumn="0" w:noHBand="0" w:noVBand="1"/>
      </w:tblPr>
      <w:tblGrid>
        <w:gridCol w:w="3120"/>
        <w:gridCol w:w="3120"/>
        <w:gridCol w:w="3120"/>
      </w:tblGrid>
      <w:tr w:rsidR="00AF58BD" w:rsidRPr="002A5AE2" w14:paraId="6B8B2D0B" w14:textId="77777777">
        <w:trPr>
          <w:tblHeader/>
        </w:trPr>
        <w:tc>
          <w:tcPr>
            <w:tcW w:w="3120" w:type="dxa"/>
            <w:shd w:val="clear" w:color="auto" w:fill="F2F2F2"/>
          </w:tcPr>
          <w:p w14:paraId="18E2EE1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Item</w:t>
            </w:r>
          </w:p>
        </w:tc>
        <w:tc>
          <w:tcPr>
            <w:tcW w:w="3120" w:type="dxa"/>
            <w:shd w:val="clear" w:color="auto" w:fill="F2F2F2"/>
          </w:tcPr>
          <w:p w14:paraId="54D5A933"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Detail</w:t>
            </w:r>
          </w:p>
        </w:tc>
        <w:tc>
          <w:tcPr>
            <w:tcW w:w="3120" w:type="dxa"/>
            <w:shd w:val="clear" w:color="auto" w:fill="F2F2F2"/>
          </w:tcPr>
          <w:p w14:paraId="23C8DB20"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Cost (S/)</w:t>
            </w:r>
          </w:p>
        </w:tc>
      </w:tr>
      <w:tr w:rsidR="00AF58BD" w:rsidRPr="002A5AE2" w14:paraId="3F892536" w14:textId="77777777">
        <w:tc>
          <w:tcPr>
            <w:tcW w:w="3120" w:type="dxa"/>
          </w:tcPr>
          <w:p w14:paraId="554BF7B4" w14:textId="77777777" w:rsidR="00AF58BD" w:rsidRPr="002A5AE2" w:rsidRDefault="00000000" w:rsidP="002A5AE2">
            <w:pPr>
              <w:jc w:val="both"/>
              <w:rPr>
                <w:rFonts w:ascii="Arial" w:hAnsi="Arial" w:cs="Arial"/>
                <w:sz w:val="24"/>
                <w:szCs w:val="24"/>
              </w:rPr>
            </w:pPr>
            <w:r>
              <w:rPr>
                <w:rFonts w:ascii="Arial" w:hAnsi="Arial" w:cs="Arial"/>
                <w:sz w:val="24"/>
                <w:szCs w:val="24"/>
              </w:rPr>
              <w:t>Trade database access</w:t>
            </w:r>
          </w:p>
        </w:tc>
        <w:tc>
          <w:tcPr>
            <w:tcW w:w="3120" w:type="dxa"/>
          </w:tcPr>
          <w:p w14:paraId="5E6AA635" w14:textId="77777777" w:rsidR="00AF58BD" w:rsidRPr="002A5AE2" w:rsidRDefault="00000000" w:rsidP="002A5AE2">
            <w:pPr>
              <w:jc w:val="both"/>
              <w:rPr>
                <w:rFonts w:ascii="Arial" w:hAnsi="Arial" w:cs="Arial"/>
                <w:sz w:val="24"/>
                <w:szCs w:val="24"/>
              </w:rPr>
            </w:pPr>
            <w:r>
              <w:rPr>
                <w:rFonts w:ascii="Arial" w:hAnsi="Arial" w:cs="Arial"/>
                <w:sz w:val="24"/>
                <w:szCs w:val="24"/>
              </w:rPr>
              <w:t>Veritrade access for updates and checks (quote to confirm)</w:t>
            </w:r>
          </w:p>
        </w:tc>
        <w:tc>
          <w:tcPr>
            <w:tcW w:w="3120" w:type="dxa"/>
          </w:tcPr>
          <w:p w14:paraId="3C7715B9" w14:textId="77777777" w:rsidR="00AF58BD" w:rsidRPr="002A5AE2" w:rsidRDefault="00000000" w:rsidP="002A5AE2">
            <w:pPr>
              <w:jc w:val="both"/>
              <w:rPr>
                <w:rFonts w:ascii="Arial" w:hAnsi="Arial" w:cs="Arial"/>
                <w:sz w:val="24"/>
                <w:szCs w:val="24"/>
              </w:rPr>
            </w:pPr>
            <w:r>
              <w:rPr>
                <w:rFonts w:ascii="Arial" w:hAnsi="Arial" w:cs="Arial"/>
                <w:sz w:val="24"/>
                <w:szCs w:val="24"/>
              </w:rPr>
              <w:t>6,000</w:t>
            </w:r>
          </w:p>
        </w:tc>
      </w:tr>
      <w:tr w:rsidR="00AF58BD" w:rsidRPr="002A5AE2" w14:paraId="3A620D6F" w14:textId="77777777">
        <w:tc>
          <w:tcPr>
            <w:tcW w:w="3120" w:type="dxa"/>
          </w:tcPr>
          <w:p w14:paraId="0B655BA4" w14:textId="77777777" w:rsidR="00AF58BD" w:rsidRPr="002A5AE2" w:rsidRDefault="00000000" w:rsidP="002A5AE2">
            <w:pPr>
              <w:jc w:val="both"/>
              <w:rPr>
                <w:rFonts w:ascii="Arial" w:hAnsi="Arial" w:cs="Arial"/>
                <w:sz w:val="24"/>
                <w:szCs w:val="24"/>
              </w:rPr>
            </w:pPr>
            <w:r>
              <w:rPr>
                <w:rFonts w:ascii="Arial" w:hAnsi="Arial" w:cs="Arial"/>
                <w:sz w:val="24"/>
                <w:szCs w:val="24"/>
              </w:rPr>
              <w:t>Computing</w:t>
            </w:r>
          </w:p>
        </w:tc>
        <w:tc>
          <w:tcPr>
            <w:tcW w:w="3120" w:type="dxa"/>
          </w:tcPr>
          <w:p w14:paraId="4A795FF2" w14:textId="77777777" w:rsidR="00AF58BD" w:rsidRPr="002A5AE2" w:rsidRDefault="00000000" w:rsidP="002A5AE2">
            <w:pPr>
              <w:jc w:val="both"/>
              <w:rPr>
                <w:rFonts w:ascii="Arial" w:hAnsi="Arial" w:cs="Arial"/>
                <w:sz w:val="24"/>
                <w:szCs w:val="24"/>
              </w:rPr>
            </w:pPr>
            <w:r>
              <w:rPr>
                <w:rFonts w:ascii="Arial" w:hAnsi="Arial" w:cs="Arial"/>
                <w:sz w:val="24"/>
                <w:szCs w:val="24"/>
              </w:rPr>
              <w:t>Cloud notebook or GPU credits</w:t>
            </w:r>
          </w:p>
        </w:tc>
        <w:tc>
          <w:tcPr>
            <w:tcW w:w="3120" w:type="dxa"/>
          </w:tcPr>
          <w:p w14:paraId="2D6297B0" w14:textId="77777777" w:rsidR="00AF58BD" w:rsidRPr="002A5AE2" w:rsidRDefault="00000000" w:rsidP="002A5AE2">
            <w:pPr>
              <w:jc w:val="both"/>
              <w:rPr>
                <w:rFonts w:ascii="Arial" w:hAnsi="Arial" w:cs="Arial"/>
                <w:sz w:val="24"/>
                <w:szCs w:val="24"/>
              </w:rPr>
            </w:pPr>
            <w:r>
              <w:rPr>
                <w:rFonts w:ascii="Arial" w:hAnsi="Arial" w:cs="Arial"/>
                <w:sz w:val="24"/>
                <w:szCs w:val="24"/>
              </w:rPr>
              <w:t>800</w:t>
            </w:r>
          </w:p>
        </w:tc>
      </w:tr>
      <w:tr w:rsidR="00AF58BD" w:rsidRPr="002A5AE2" w14:paraId="5B90E400" w14:textId="77777777">
        <w:tc>
          <w:tcPr>
            <w:tcW w:w="3120" w:type="dxa"/>
          </w:tcPr>
          <w:p w14:paraId="5EAA34A3" w14:textId="77777777" w:rsidR="00AF58BD" w:rsidRPr="002A5AE2" w:rsidRDefault="00000000" w:rsidP="002A5AE2">
            <w:pPr>
              <w:jc w:val="both"/>
              <w:rPr>
                <w:rFonts w:ascii="Arial" w:hAnsi="Arial" w:cs="Arial"/>
                <w:sz w:val="24"/>
                <w:szCs w:val="24"/>
              </w:rPr>
            </w:pPr>
            <w:r>
              <w:rPr>
                <w:rFonts w:ascii="Arial" w:hAnsi="Arial" w:cs="Arial"/>
                <w:sz w:val="24"/>
                <w:szCs w:val="24"/>
              </w:rPr>
              <w:t>Data storage</w:t>
            </w:r>
          </w:p>
        </w:tc>
        <w:tc>
          <w:tcPr>
            <w:tcW w:w="3120" w:type="dxa"/>
          </w:tcPr>
          <w:p w14:paraId="42B23ED6" w14:textId="77777777" w:rsidR="00AF58BD" w:rsidRPr="002A5AE2" w:rsidRDefault="00000000" w:rsidP="002A5AE2">
            <w:pPr>
              <w:jc w:val="both"/>
              <w:rPr>
                <w:rFonts w:ascii="Arial" w:hAnsi="Arial" w:cs="Arial"/>
                <w:sz w:val="24"/>
                <w:szCs w:val="24"/>
              </w:rPr>
            </w:pPr>
            <w:r>
              <w:rPr>
                <w:rFonts w:ascii="Arial" w:hAnsi="Arial" w:cs="Arial"/>
                <w:sz w:val="24"/>
                <w:szCs w:val="24"/>
              </w:rPr>
              <w:t>Encrypted storage for raw data</w:t>
            </w:r>
          </w:p>
        </w:tc>
        <w:tc>
          <w:tcPr>
            <w:tcW w:w="3120" w:type="dxa"/>
          </w:tcPr>
          <w:p w14:paraId="4B21679E" w14:textId="77777777" w:rsidR="00AF58BD" w:rsidRPr="002A5AE2" w:rsidRDefault="00000000" w:rsidP="002A5AE2">
            <w:pPr>
              <w:jc w:val="both"/>
              <w:rPr>
                <w:rFonts w:ascii="Arial" w:hAnsi="Arial" w:cs="Arial"/>
                <w:sz w:val="24"/>
                <w:szCs w:val="24"/>
              </w:rPr>
            </w:pPr>
            <w:r>
              <w:rPr>
                <w:rFonts w:ascii="Arial" w:hAnsi="Arial" w:cs="Arial"/>
                <w:sz w:val="24"/>
                <w:szCs w:val="24"/>
              </w:rPr>
              <w:t>200</w:t>
            </w:r>
          </w:p>
        </w:tc>
      </w:tr>
      <w:tr w:rsidR="00AF58BD" w:rsidRPr="002A5AE2" w14:paraId="65E0C563" w14:textId="77777777">
        <w:tc>
          <w:tcPr>
            <w:tcW w:w="3120" w:type="dxa"/>
          </w:tcPr>
          <w:p w14:paraId="6087B867" w14:textId="77777777" w:rsidR="00AF58BD" w:rsidRPr="002A5AE2" w:rsidRDefault="00000000" w:rsidP="002A5AE2">
            <w:pPr>
              <w:jc w:val="both"/>
              <w:rPr>
                <w:rFonts w:ascii="Arial" w:hAnsi="Arial" w:cs="Arial"/>
                <w:sz w:val="24"/>
                <w:szCs w:val="24"/>
              </w:rPr>
            </w:pPr>
            <w:r>
              <w:rPr>
                <w:rFonts w:ascii="Arial" w:hAnsi="Arial" w:cs="Arial"/>
                <w:sz w:val="24"/>
                <w:szCs w:val="24"/>
              </w:rPr>
              <w:t>Second rater</w:t>
            </w:r>
          </w:p>
        </w:tc>
        <w:tc>
          <w:tcPr>
            <w:tcW w:w="3120" w:type="dxa"/>
          </w:tcPr>
          <w:p w14:paraId="51BA308B" w14:textId="77777777" w:rsidR="00AF58BD" w:rsidRPr="002A5AE2" w:rsidRDefault="00000000" w:rsidP="002A5AE2">
            <w:pPr>
              <w:jc w:val="both"/>
              <w:rPr>
                <w:rFonts w:ascii="Arial" w:hAnsi="Arial" w:cs="Arial"/>
                <w:sz w:val="24"/>
                <w:szCs w:val="24"/>
              </w:rPr>
            </w:pPr>
            <w:r>
              <w:rPr>
                <w:rFonts w:ascii="Arial" w:hAnsi="Arial" w:cs="Arial"/>
                <w:sz w:val="24"/>
                <w:szCs w:val="24"/>
              </w:rPr>
              <w:t>Honorarium for labeling a random sample (kappa audit)</w:t>
            </w:r>
          </w:p>
        </w:tc>
        <w:tc>
          <w:tcPr>
            <w:tcW w:w="3120" w:type="dxa"/>
          </w:tcPr>
          <w:p w14:paraId="6EE51843" w14:textId="77777777" w:rsidR="00AF58BD" w:rsidRPr="002A5AE2" w:rsidRDefault="00000000" w:rsidP="002A5AE2">
            <w:pPr>
              <w:jc w:val="both"/>
              <w:rPr>
                <w:rFonts w:ascii="Arial" w:hAnsi="Arial" w:cs="Arial"/>
                <w:sz w:val="24"/>
                <w:szCs w:val="24"/>
              </w:rPr>
            </w:pPr>
            <w:r>
              <w:rPr>
                <w:rFonts w:ascii="Arial" w:hAnsi="Arial" w:cs="Arial"/>
                <w:sz w:val="24"/>
                <w:szCs w:val="24"/>
              </w:rPr>
              <w:t>800</w:t>
            </w:r>
          </w:p>
        </w:tc>
      </w:tr>
      <w:tr w:rsidR="00AF58BD" w:rsidRPr="002A5AE2" w14:paraId="5925577A" w14:textId="77777777">
        <w:tc>
          <w:tcPr>
            <w:tcW w:w="3120" w:type="dxa"/>
          </w:tcPr>
          <w:p w14:paraId="7B015B53" w14:textId="77777777" w:rsidR="00AF58BD" w:rsidRPr="002A5AE2" w:rsidRDefault="00000000" w:rsidP="002A5AE2">
            <w:pPr>
              <w:jc w:val="both"/>
              <w:rPr>
                <w:rFonts w:ascii="Arial" w:hAnsi="Arial" w:cs="Arial"/>
                <w:sz w:val="24"/>
                <w:szCs w:val="24"/>
              </w:rPr>
            </w:pPr>
            <w:r>
              <w:rPr>
                <w:rFonts w:ascii="Arial" w:hAnsi="Arial" w:cs="Arial"/>
                <w:sz w:val="24"/>
                <w:szCs w:val="24"/>
              </w:rPr>
              <w:t>Language editing</w:t>
            </w:r>
          </w:p>
        </w:tc>
        <w:tc>
          <w:tcPr>
            <w:tcW w:w="3120" w:type="dxa"/>
          </w:tcPr>
          <w:p w14:paraId="7E1982B9" w14:textId="77777777" w:rsidR="00AF58BD" w:rsidRPr="002A5AE2" w:rsidRDefault="00000000" w:rsidP="002A5AE2">
            <w:pPr>
              <w:jc w:val="both"/>
              <w:rPr>
                <w:rFonts w:ascii="Arial" w:hAnsi="Arial" w:cs="Arial"/>
                <w:sz w:val="24"/>
                <w:szCs w:val="24"/>
              </w:rPr>
            </w:pPr>
            <w:r>
              <w:rPr>
                <w:rFonts w:ascii="Arial" w:hAnsi="Arial" w:cs="Arial"/>
                <w:sz w:val="24"/>
                <w:szCs w:val="24"/>
              </w:rPr>
              <w:t>English proofreading of manuscripts</w:t>
            </w:r>
          </w:p>
        </w:tc>
        <w:tc>
          <w:tcPr>
            <w:tcW w:w="3120" w:type="dxa"/>
          </w:tcPr>
          <w:p w14:paraId="33B8F1E9" w14:textId="77777777" w:rsidR="00AF58BD" w:rsidRPr="002A5AE2" w:rsidRDefault="00000000" w:rsidP="002A5AE2">
            <w:pPr>
              <w:jc w:val="both"/>
              <w:rPr>
                <w:rFonts w:ascii="Arial" w:hAnsi="Arial" w:cs="Arial"/>
                <w:sz w:val="24"/>
                <w:szCs w:val="24"/>
              </w:rPr>
            </w:pPr>
            <w:r>
              <w:rPr>
                <w:rFonts w:ascii="Arial" w:hAnsi="Arial" w:cs="Arial"/>
                <w:sz w:val="24"/>
                <w:szCs w:val="24"/>
              </w:rPr>
              <w:t>2,000</w:t>
            </w:r>
          </w:p>
        </w:tc>
      </w:tr>
      <w:tr w:rsidR="00AF58BD" w:rsidRPr="002A5AE2" w14:paraId="0B580675" w14:textId="77777777">
        <w:tc>
          <w:tcPr>
            <w:tcW w:w="3120" w:type="dxa"/>
          </w:tcPr>
          <w:p w14:paraId="0899C960" w14:textId="77777777" w:rsidR="00AF58BD" w:rsidRPr="002A5AE2" w:rsidRDefault="00000000" w:rsidP="002A5AE2">
            <w:pPr>
              <w:jc w:val="both"/>
              <w:rPr>
                <w:rFonts w:ascii="Arial" w:hAnsi="Arial" w:cs="Arial"/>
                <w:sz w:val="24"/>
                <w:szCs w:val="24"/>
              </w:rPr>
            </w:pPr>
            <w:r>
              <w:rPr>
                <w:rFonts w:ascii="Arial" w:hAnsi="Arial" w:cs="Arial"/>
                <w:sz w:val="24"/>
                <w:szCs w:val="24"/>
              </w:rPr>
              <w:t>Publication</w:t>
            </w:r>
          </w:p>
        </w:tc>
        <w:tc>
          <w:tcPr>
            <w:tcW w:w="3120" w:type="dxa"/>
          </w:tcPr>
          <w:p w14:paraId="0ECF2A7D" w14:textId="77777777" w:rsidR="00AF58BD" w:rsidRPr="002A5AE2" w:rsidRDefault="00000000" w:rsidP="002A5AE2">
            <w:pPr>
              <w:jc w:val="both"/>
              <w:rPr>
                <w:rFonts w:ascii="Arial" w:hAnsi="Arial" w:cs="Arial"/>
                <w:sz w:val="24"/>
                <w:szCs w:val="24"/>
              </w:rPr>
            </w:pPr>
            <w:r>
              <w:rPr>
                <w:rFonts w:ascii="Arial" w:hAnsi="Arial" w:cs="Arial"/>
                <w:sz w:val="24"/>
                <w:szCs w:val="24"/>
              </w:rPr>
              <w:t>Open-access fee for one article (approximate, confirm with journal)</w:t>
            </w:r>
          </w:p>
        </w:tc>
        <w:tc>
          <w:tcPr>
            <w:tcW w:w="3120" w:type="dxa"/>
          </w:tcPr>
          <w:p w14:paraId="3C9DC33E" w14:textId="77777777" w:rsidR="00AF58BD" w:rsidRPr="002A5AE2" w:rsidRDefault="00000000" w:rsidP="002A5AE2">
            <w:pPr>
              <w:jc w:val="both"/>
              <w:rPr>
                <w:rFonts w:ascii="Arial" w:hAnsi="Arial" w:cs="Arial"/>
                <w:sz w:val="24"/>
                <w:szCs w:val="24"/>
              </w:rPr>
            </w:pPr>
            <w:r>
              <w:rPr>
                <w:rFonts w:ascii="Arial" w:hAnsi="Arial" w:cs="Arial"/>
                <w:sz w:val="24"/>
                <w:szCs w:val="24"/>
              </w:rPr>
              <w:t>10,000</w:t>
            </w:r>
          </w:p>
        </w:tc>
      </w:tr>
      <w:tr w:rsidR="00AF58BD" w:rsidRPr="002A5AE2" w14:paraId="7067733B" w14:textId="77777777">
        <w:tc>
          <w:tcPr>
            <w:tcW w:w="3120" w:type="dxa"/>
          </w:tcPr>
          <w:p w14:paraId="4AFC5D51" w14:textId="77777777" w:rsidR="00AF58BD" w:rsidRPr="002A5AE2" w:rsidRDefault="00000000" w:rsidP="002A5AE2">
            <w:pPr>
              <w:jc w:val="both"/>
              <w:rPr>
                <w:rFonts w:ascii="Arial" w:hAnsi="Arial" w:cs="Arial"/>
                <w:sz w:val="24"/>
                <w:szCs w:val="24"/>
              </w:rPr>
            </w:pPr>
            <w:r>
              <w:rPr>
                <w:rFonts w:ascii="Arial" w:hAnsi="Arial" w:cs="Arial"/>
                <w:sz w:val="24"/>
                <w:szCs w:val="24"/>
              </w:rPr>
              <w:t>Dissemination</w:t>
            </w:r>
          </w:p>
        </w:tc>
        <w:tc>
          <w:tcPr>
            <w:tcW w:w="3120" w:type="dxa"/>
          </w:tcPr>
          <w:p w14:paraId="4E94C9B6" w14:textId="77777777" w:rsidR="00AF58BD" w:rsidRPr="002A5AE2" w:rsidRDefault="00000000" w:rsidP="002A5AE2">
            <w:pPr>
              <w:jc w:val="both"/>
              <w:rPr>
                <w:rFonts w:ascii="Arial" w:hAnsi="Arial" w:cs="Arial"/>
                <w:sz w:val="24"/>
                <w:szCs w:val="24"/>
              </w:rPr>
            </w:pPr>
            <w:r>
              <w:rPr>
                <w:rFonts w:ascii="Arial" w:hAnsi="Arial" w:cs="Arial"/>
                <w:sz w:val="24"/>
                <w:szCs w:val="24"/>
              </w:rPr>
              <w:t>Conference registration</w:t>
            </w:r>
          </w:p>
        </w:tc>
        <w:tc>
          <w:tcPr>
            <w:tcW w:w="3120" w:type="dxa"/>
          </w:tcPr>
          <w:p w14:paraId="3D0B2A6D" w14:textId="77777777" w:rsidR="00AF58BD" w:rsidRPr="002A5AE2" w:rsidRDefault="00000000" w:rsidP="002A5AE2">
            <w:pPr>
              <w:jc w:val="both"/>
              <w:rPr>
                <w:rFonts w:ascii="Arial" w:hAnsi="Arial" w:cs="Arial"/>
                <w:sz w:val="24"/>
                <w:szCs w:val="24"/>
              </w:rPr>
            </w:pPr>
            <w:r>
              <w:rPr>
                <w:rFonts w:ascii="Arial" w:hAnsi="Arial" w:cs="Arial"/>
                <w:sz w:val="24"/>
                <w:szCs w:val="24"/>
              </w:rPr>
              <w:t>1,500</w:t>
            </w:r>
          </w:p>
        </w:tc>
      </w:tr>
      <w:tr w:rsidR="00AF58BD" w:rsidRPr="002A5AE2" w14:paraId="650CFFC5" w14:textId="77777777">
        <w:tc>
          <w:tcPr>
            <w:tcW w:w="3120" w:type="dxa"/>
          </w:tcPr>
          <w:p w14:paraId="4BBCA441" w14:textId="77777777" w:rsidR="00AF58BD" w:rsidRPr="002A5AE2" w:rsidRDefault="00000000" w:rsidP="002A5AE2">
            <w:pPr>
              <w:jc w:val="both"/>
              <w:rPr>
                <w:rFonts w:ascii="Arial" w:hAnsi="Arial" w:cs="Arial"/>
                <w:sz w:val="24"/>
                <w:szCs w:val="24"/>
              </w:rPr>
            </w:pPr>
            <w:r>
              <w:rPr>
                <w:rFonts w:ascii="Arial" w:hAnsi="Arial" w:cs="Arial"/>
                <w:sz w:val="24"/>
                <w:szCs w:val="24"/>
              </w:rPr>
              <w:t>Contingency</w:t>
            </w:r>
          </w:p>
        </w:tc>
        <w:tc>
          <w:tcPr>
            <w:tcW w:w="3120" w:type="dxa"/>
          </w:tcPr>
          <w:p w14:paraId="1EF63B57" w14:textId="77777777" w:rsidR="00AF58BD" w:rsidRPr="002A5AE2" w:rsidRDefault="00000000" w:rsidP="002A5AE2">
            <w:pPr>
              <w:jc w:val="both"/>
              <w:rPr>
                <w:rFonts w:ascii="Arial" w:hAnsi="Arial" w:cs="Arial"/>
                <w:sz w:val="24"/>
                <w:szCs w:val="24"/>
              </w:rPr>
            </w:pPr>
            <w:r>
              <w:rPr>
                <w:rFonts w:ascii="Arial" w:hAnsi="Arial" w:cs="Arial"/>
                <w:sz w:val="24"/>
                <w:szCs w:val="24"/>
              </w:rPr>
              <w:t>10% of subtotal</w:t>
            </w:r>
          </w:p>
        </w:tc>
        <w:tc>
          <w:tcPr>
            <w:tcW w:w="3120" w:type="dxa"/>
          </w:tcPr>
          <w:p w14:paraId="674F3765" w14:textId="77777777" w:rsidR="00AF58BD" w:rsidRPr="002A5AE2" w:rsidRDefault="00000000" w:rsidP="002A5AE2">
            <w:pPr>
              <w:jc w:val="both"/>
              <w:rPr>
                <w:rFonts w:ascii="Arial" w:hAnsi="Arial" w:cs="Arial"/>
                <w:sz w:val="24"/>
                <w:szCs w:val="24"/>
              </w:rPr>
            </w:pPr>
            <w:r>
              <w:rPr>
                <w:rFonts w:ascii="Arial" w:hAnsi="Arial" w:cs="Arial"/>
                <w:sz w:val="24"/>
                <w:szCs w:val="24"/>
              </w:rPr>
              <w:t>2,130</w:t>
            </w:r>
          </w:p>
        </w:tc>
      </w:tr>
      <w:tr w:rsidR="00AF58BD" w:rsidRPr="002A5AE2" w14:paraId="259EA778" w14:textId="77777777">
        <w:tc>
          <w:tcPr>
            <w:tcW w:w="3120" w:type="dxa"/>
          </w:tcPr>
          <w:p w14:paraId="3EBD1FDA" w14:textId="77777777" w:rsidR="00AF58BD" w:rsidRPr="002A5AE2" w:rsidRDefault="00000000" w:rsidP="002A5AE2">
            <w:pPr>
              <w:jc w:val="both"/>
              <w:rPr>
                <w:rFonts w:ascii="Arial" w:hAnsi="Arial" w:cs="Arial"/>
                <w:sz w:val="24"/>
                <w:szCs w:val="24"/>
              </w:rPr>
            </w:pPr>
            <w:r>
              <w:rPr>
                <w:rFonts w:ascii="Arial" w:hAnsi="Arial" w:cs="Arial"/>
                <w:b/>
                <w:sz w:val="24"/>
                <w:szCs w:val="24"/>
              </w:rPr>
              <w:t>Total</w:t>
            </w:r>
          </w:p>
        </w:tc>
        <w:tc>
          <w:tcPr>
            <w:tcW w:w="3120" w:type="dxa"/>
          </w:tcPr>
          <w:p w14:paraId="787BCEA0" w14:textId="77777777" w:rsidR="00AF58BD" w:rsidRPr="002A5AE2" w:rsidRDefault="00000000" w:rsidP="002A5AE2">
            <w:pPr>
              <w:jc w:val="both"/>
              <w:rPr>
                <w:rFonts w:ascii="Arial" w:hAnsi="Arial" w:cs="Arial"/>
                <w:sz w:val="24"/>
                <w:szCs w:val="24"/>
              </w:rPr>
            </w:pPr>
          </w:p>
        </w:tc>
        <w:tc>
          <w:tcPr>
            <w:tcW w:w="3120" w:type="dxa"/>
          </w:tcPr>
          <w:p w14:paraId="40B2C790" w14:textId="77777777" w:rsidR="00AF58BD" w:rsidRPr="002A5AE2" w:rsidRDefault="00000000" w:rsidP="002A5AE2">
            <w:pPr>
              <w:jc w:val="both"/>
              <w:rPr>
                <w:rFonts w:ascii="Arial" w:hAnsi="Arial" w:cs="Arial"/>
                <w:sz w:val="24"/>
                <w:szCs w:val="24"/>
              </w:rPr>
            </w:pPr>
            <w:r>
              <w:rPr>
                <w:rFonts w:ascii="Arial" w:hAnsi="Arial" w:cs="Arial"/>
                <w:b/>
                <w:sz w:val="24"/>
                <w:szCs w:val="24"/>
              </w:rPr>
              <w:t>23,430</w:t>
            </w:r>
          </w:p>
        </w:tc>
      </w:tr>
    </w:tbl>
    <w:p w14:paraId="78E88ED0" w14:textId="77777777" w:rsidR="00AF58BD" w:rsidRPr="002A5AE2" w:rsidRDefault="00000000" w:rsidP="002A5AE2">
      <w:pPr>
        <w:pStyle w:val="Ttulo2"/>
        <w:jc w:val="both"/>
        <w:rPr>
          <w:rFonts w:ascii="Arial" w:hAnsi="Arial" w:cs="Arial"/>
          <w:sz w:val="24"/>
          <w:szCs w:val="24"/>
        </w:rPr>
      </w:pPr>
      <w:r w:rsidRPr="002A5AE2">
        <w:rPr>
          <w:rFonts w:ascii="Arial" w:hAnsi="Arial" w:cs="Arial"/>
          <w:sz w:val="24"/>
          <w:szCs w:val="24"/>
        </w:rPr>
        <w:t>10 · Bibliography</w:t>
      </w:r>
    </w:p>
    <w:p w14:paraId="0CBBAC57"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APA 7th edition.</w:t>
      </w:r>
    </w:p>
    <w:p w14:paraId="16CF32F1"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Studies cited in the project</w:t>
      </w:r>
    </w:p>
    <w:p w14:paraId="25E1F6E8"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Badakhshan, E., &amp; Khosravi, A. (2024). Application of simulation and machine learning in supply chain management. </w:t>
      </w:r>
      <w:r w:rsidRPr="002A5AE2">
        <w:rPr>
          <w:rFonts w:ascii="Arial" w:hAnsi="Arial" w:cs="Arial"/>
          <w:i/>
          <w:sz w:val="24"/>
          <w:szCs w:val="24"/>
        </w:rPr>
        <w:t>Computers &amp; Industrial Engineering, 109</w:t>
      </w:r>
      <w:r w:rsidRPr="002A5AE2">
        <w:rPr>
          <w:rFonts w:ascii="Arial" w:hAnsi="Arial" w:cs="Arial"/>
          <w:sz w:val="24"/>
          <w:szCs w:val="24"/>
        </w:rPr>
        <w:t>, 110649. https://doi.org/10.1016/j.cie.2024.110649</w:t>
      </w:r>
    </w:p>
    <w:p w14:paraId="68C9F453"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Bhattacharya, S., Singh, A., &amp; Kumar, P. (2024). Applications of artificial intelligence in closed-loop supply chains: A systematic literature review. </w:t>
      </w:r>
      <w:r w:rsidRPr="002A5AE2">
        <w:rPr>
          <w:rFonts w:ascii="Arial" w:hAnsi="Arial" w:cs="Arial"/>
          <w:i/>
          <w:sz w:val="24"/>
          <w:szCs w:val="24"/>
        </w:rPr>
        <w:t>Transportation Research Part E: Logistics and Transportation Review, 184</w:t>
      </w:r>
      <w:r w:rsidRPr="002A5AE2">
        <w:rPr>
          <w:rFonts w:ascii="Arial" w:hAnsi="Arial" w:cs="Arial"/>
          <w:sz w:val="24"/>
          <w:szCs w:val="24"/>
        </w:rPr>
        <w:t>, 103455. https://doi.org/10.1016/j.tre.2024.103455</w:t>
      </w:r>
    </w:p>
    <w:p w14:paraId="26AF1063" w14:textId="77777777" w:rsidR="00AF58BD" w:rsidRPr="002A5AE2" w:rsidRDefault="00000000" w:rsidP="002A5AE2">
      <w:pPr>
        <w:pStyle w:val="Prrafodelista"/>
        <w:numPr>
          <w:ilvl w:val="0"/>
          <w:numId w:val="11"/>
        </w:numPr>
        <w:jc w:val="both"/>
        <w:rPr>
          <w:rFonts w:ascii="Arial" w:hAnsi="Arial" w:cs="Arial"/>
          <w:sz w:val="24"/>
          <w:szCs w:val="24"/>
        </w:rPr>
      </w:pPr>
      <w:proofErr w:type="spellStart"/>
      <w:r w:rsidRPr="002A5AE2">
        <w:rPr>
          <w:rFonts w:ascii="Arial" w:hAnsi="Arial" w:cs="Arial"/>
          <w:sz w:val="24"/>
          <w:szCs w:val="24"/>
          <w:lang w:val="es-PE"/>
        </w:rPr>
        <w:t>Breinlich</w:t>
      </w:r>
      <w:proofErr w:type="spellEnd"/>
      <w:r w:rsidRPr="002A5AE2">
        <w:rPr>
          <w:rFonts w:ascii="Arial" w:hAnsi="Arial" w:cs="Arial"/>
          <w:sz w:val="24"/>
          <w:szCs w:val="24"/>
          <w:lang w:val="es-PE"/>
        </w:rPr>
        <w:t xml:space="preserve">, H., Corradi, V., Rocha, N., Ruta, M., Santos Silva, J. M. C., &amp; </w:t>
      </w:r>
      <w:proofErr w:type="spellStart"/>
      <w:r w:rsidRPr="002A5AE2">
        <w:rPr>
          <w:rFonts w:ascii="Arial" w:hAnsi="Arial" w:cs="Arial"/>
          <w:sz w:val="24"/>
          <w:szCs w:val="24"/>
          <w:lang w:val="es-PE"/>
        </w:rPr>
        <w:t>Zylkin</w:t>
      </w:r>
      <w:proofErr w:type="spellEnd"/>
      <w:r w:rsidRPr="002A5AE2">
        <w:rPr>
          <w:rFonts w:ascii="Arial" w:hAnsi="Arial" w:cs="Arial"/>
          <w:sz w:val="24"/>
          <w:szCs w:val="24"/>
          <w:lang w:val="es-PE"/>
        </w:rPr>
        <w:t xml:space="preserve">, T. (2021). </w:t>
      </w:r>
      <w:r w:rsidRPr="002A5AE2">
        <w:rPr>
          <w:rFonts w:ascii="Arial" w:hAnsi="Arial" w:cs="Arial"/>
          <w:i/>
          <w:sz w:val="24"/>
          <w:szCs w:val="24"/>
        </w:rPr>
        <w:t>Machine learning in international trade research</w:t>
      </w:r>
      <w:r w:rsidRPr="002A5AE2">
        <w:rPr>
          <w:rFonts w:ascii="Arial" w:hAnsi="Arial" w:cs="Arial"/>
          <w:sz w:val="24"/>
          <w:szCs w:val="24"/>
        </w:rPr>
        <w:t>. World Bank.</w:t>
      </w:r>
    </w:p>
    <w:p w14:paraId="25145F96" w14:textId="77777777" w:rsidR="00AF58BD" w:rsidRPr="002A5AE2" w:rsidRDefault="00000000" w:rsidP="002A5AE2">
      <w:pPr>
        <w:pStyle w:val="Prrafodelista"/>
        <w:numPr>
          <w:ilvl w:val="0"/>
          <w:numId w:val="11"/>
        </w:numPr>
        <w:jc w:val="both"/>
        <w:rPr>
          <w:rFonts w:ascii="Arial" w:hAnsi="Arial" w:cs="Arial"/>
          <w:sz w:val="24"/>
          <w:szCs w:val="24"/>
        </w:rPr>
      </w:pPr>
      <w:proofErr w:type="spellStart"/>
      <w:r w:rsidRPr="002A5AE2">
        <w:rPr>
          <w:rFonts w:ascii="Arial" w:hAnsi="Arial" w:cs="Arial"/>
          <w:sz w:val="24"/>
          <w:szCs w:val="24"/>
        </w:rPr>
        <w:t>Culot</w:t>
      </w:r>
      <w:proofErr w:type="spellEnd"/>
      <w:r w:rsidRPr="002A5AE2">
        <w:rPr>
          <w:rFonts w:ascii="Arial" w:hAnsi="Arial" w:cs="Arial"/>
          <w:sz w:val="24"/>
          <w:szCs w:val="24"/>
        </w:rPr>
        <w:t xml:space="preserve">, G., Orzes, M., &amp; Carbo, L. (2024). Artificial intelligence in supply chain management: A systematic literature review. </w:t>
      </w:r>
      <w:r w:rsidRPr="002A5AE2">
        <w:rPr>
          <w:rFonts w:ascii="Arial" w:hAnsi="Arial" w:cs="Arial"/>
          <w:i/>
          <w:sz w:val="24"/>
          <w:szCs w:val="24"/>
        </w:rPr>
        <w:t>Computers in Industry, 158</w:t>
      </w:r>
      <w:r w:rsidRPr="002A5AE2">
        <w:rPr>
          <w:rFonts w:ascii="Arial" w:hAnsi="Arial" w:cs="Arial"/>
          <w:sz w:val="24"/>
          <w:szCs w:val="24"/>
        </w:rPr>
        <w:t>, 104132. https://doi.org/10.1016/j.compind.2024.104132</w:t>
      </w:r>
    </w:p>
    <w:p w14:paraId="19A3CB1F"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Environmental sustainability assessment of tissue paper production. (2024). </w:t>
      </w:r>
      <w:r w:rsidRPr="002A5AE2">
        <w:rPr>
          <w:rFonts w:ascii="Arial" w:hAnsi="Arial" w:cs="Arial"/>
          <w:i/>
          <w:sz w:val="24"/>
          <w:szCs w:val="24"/>
        </w:rPr>
        <w:t>Sustainability, 16</w:t>
      </w:r>
      <w:r w:rsidRPr="002A5AE2">
        <w:rPr>
          <w:rFonts w:ascii="Arial" w:hAnsi="Arial" w:cs="Arial"/>
          <w:sz w:val="24"/>
          <w:szCs w:val="24"/>
        </w:rPr>
        <w:t>(21), 9419. https://www.mdpi.com/2071-1050/16/21/9419</w:t>
      </w:r>
    </w:p>
    <w:p w14:paraId="3BB41EA2"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Evaluation of life cycle assessment in a paper manufacture by analytical hierarchy process. (2021). </w:t>
      </w:r>
      <w:r w:rsidRPr="002A5AE2">
        <w:rPr>
          <w:rFonts w:ascii="Arial" w:hAnsi="Arial" w:cs="Arial"/>
          <w:i/>
          <w:sz w:val="24"/>
          <w:szCs w:val="24"/>
        </w:rPr>
        <w:t>International Journal of Sustainable Engineering, 12</w:t>
      </w:r>
      <w:r w:rsidRPr="002A5AE2">
        <w:rPr>
          <w:rFonts w:ascii="Arial" w:hAnsi="Arial" w:cs="Arial"/>
          <w:sz w:val="24"/>
          <w:szCs w:val="24"/>
        </w:rPr>
        <w:t>(6), 1–15. https://doi.org/10.1080/19397038.2021.1982065</w:t>
      </w:r>
    </w:p>
    <w:p w14:paraId="0807F370"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Ferencz, J. (2022). </w:t>
      </w:r>
      <w:r w:rsidRPr="002A5AE2">
        <w:rPr>
          <w:rFonts w:ascii="Arial" w:hAnsi="Arial" w:cs="Arial"/>
          <w:i/>
          <w:sz w:val="24"/>
          <w:szCs w:val="24"/>
        </w:rPr>
        <w:t>Artificial intelligence and international trade</w:t>
      </w:r>
      <w:r w:rsidRPr="002A5AE2">
        <w:rPr>
          <w:rFonts w:ascii="Arial" w:hAnsi="Arial" w:cs="Arial"/>
          <w:sz w:val="24"/>
          <w:szCs w:val="24"/>
        </w:rPr>
        <w:t>. OECD Publishing.</w:t>
      </w:r>
    </w:p>
    <w:p w14:paraId="3412C736"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lang w:val="es-PE"/>
        </w:rPr>
        <w:t xml:space="preserve">Gidiagba, J. O., Adebayo, T., &amp; Okonkwo, C. (2025). </w:t>
      </w:r>
      <w:r w:rsidRPr="002A5AE2">
        <w:rPr>
          <w:rFonts w:ascii="Arial" w:hAnsi="Arial" w:cs="Arial"/>
          <w:sz w:val="24"/>
          <w:szCs w:val="24"/>
        </w:rPr>
        <w:t xml:space="preserve">A systematic review of machine learning applications in sustainable supplier selection. </w:t>
      </w:r>
      <w:r w:rsidRPr="002A5AE2">
        <w:rPr>
          <w:rFonts w:ascii="Arial" w:hAnsi="Arial" w:cs="Arial"/>
          <w:i/>
          <w:sz w:val="24"/>
          <w:szCs w:val="24"/>
        </w:rPr>
        <w:t>Decision Analytics Journal, 18</w:t>
      </w:r>
      <w:r w:rsidRPr="002A5AE2">
        <w:rPr>
          <w:rFonts w:ascii="Arial" w:hAnsi="Arial" w:cs="Arial"/>
          <w:sz w:val="24"/>
          <w:szCs w:val="24"/>
        </w:rPr>
        <w:t>, 100547. https://doi.org/10.1016/j.dajour.2025.100547</w:t>
      </w:r>
    </w:p>
    <w:p w14:paraId="4F712CF2"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International Organization for Standardization. (2006). </w:t>
      </w:r>
      <w:r w:rsidRPr="002A5AE2">
        <w:rPr>
          <w:rFonts w:ascii="Arial" w:hAnsi="Arial" w:cs="Arial"/>
          <w:i/>
          <w:sz w:val="24"/>
          <w:szCs w:val="24"/>
        </w:rPr>
        <w:t>ISO 14025:2006 Environmental labels and declarations — Type III environmental declarations</w:t>
      </w:r>
      <w:r w:rsidRPr="002A5AE2">
        <w:rPr>
          <w:rFonts w:ascii="Arial" w:hAnsi="Arial" w:cs="Arial"/>
          <w:sz w:val="24"/>
          <w:szCs w:val="24"/>
        </w:rPr>
        <w:t>. ISO.</w:t>
      </w:r>
    </w:p>
    <w:p w14:paraId="43D620F2"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lastRenderedPageBreak/>
        <w:t xml:space="preserve">International Organization for Standardization. (2015). </w:t>
      </w:r>
      <w:r w:rsidRPr="002A5AE2">
        <w:rPr>
          <w:rFonts w:ascii="Arial" w:hAnsi="Arial" w:cs="Arial"/>
          <w:i/>
          <w:sz w:val="24"/>
          <w:szCs w:val="24"/>
        </w:rPr>
        <w:t>ISO 14001:2015 Environmental management systems — Requirements with guidance for use</w:t>
      </w:r>
      <w:r w:rsidRPr="002A5AE2">
        <w:rPr>
          <w:rFonts w:ascii="Arial" w:hAnsi="Arial" w:cs="Arial"/>
          <w:sz w:val="24"/>
          <w:szCs w:val="24"/>
        </w:rPr>
        <w:t>. ISO.</w:t>
      </w:r>
    </w:p>
    <w:p w14:paraId="08BAC660"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International Organization for Standardization. (2018). </w:t>
      </w:r>
      <w:r w:rsidRPr="002A5AE2">
        <w:rPr>
          <w:rFonts w:ascii="Arial" w:hAnsi="Arial" w:cs="Arial"/>
          <w:i/>
          <w:sz w:val="24"/>
          <w:szCs w:val="24"/>
        </w:rPr>
        <w:t>ISO 14024:2018 Environmental labels and declarations — Type I environmental labelling</w:t>
      </w:r>
      <w:r w:rsidRPr="002A5AE2">
        <w:rPr>
          <w:rFonts w:ascii="Arial" w:hAnsi="Arial" w:cs="Arial"/>
          <w:sz w:val="24"/>
          <w:szCs w:val="24"/>
        </w:rPr>
        <w:t>. ISO.</w:t>
      </w:r>
    </w:p>
    <w:p w14:paraId="0058F7EB"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International Organization for Standardization. (2018). </w:t>
      </w:r>
      <w:r w:rsidRPr="002A5AE2">
        <w:rPr>
          <w:rFonts w:ascii="Arial" w:hAnsi="Arial" w:cs="Arial"/>
          <w:i/>
          <w:sz w:val="24"/>
          <w:szCs w:val="24"/>
        </w:rPr>
        <w:t>ISO 14067:2018 Greenhouse gases — Carbon footprint of products</w:t>
      </w:r>
      <w:r w:rsidRPr="002A5AE2">
        <w:rPr>
          <w:rFonts w:ascii="Arial" w:hAnsi="Arial" w:cs="Arial"/>
          <w:sz w:val="24"/>
          <w:szCs w:val="24"/>
        </w:rPr>
        <w:t>. ISO.</w:t>
      </w:r>
    </w:p>
    <w:p w14:paraId="702B97D5"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Khedr, A. M., Hassan, M. K., &amp; Ahmed, S. (2024). Enhancing supply chain management with deep learning and machine learning. </w:t>
      </w:r>
      <w:r w:rsidRPr="002A5AE2">
        <w:rPr>
          <w:rFonts w:ascii="Arial" w:hAnsi="Arial" w:cs="Arial"/>
          <w:i/>
          <w:sz w:val="24"/>
          <w:szCs w:val="24"/>
        </w:rPr>
        <w:t>Journal of Open Innovation: Technology, Market, and Complexity, 10</w:t>
      </w:r>
      <w:r w:rsidRPr="002A5AE2">
        <w:rPr>
          <w:rFonts w:ascii="Arial" w:hAnsi="Arial" w:cs="Arial"/>
          <w:sz w:val="24"/>
          <w:szCs w:val="24"/>
        </w:rPr>
        <w:t>(2), 100379. https://doi.org/10.1016/j.joitmc.2024.100379</w:t>
      </w:r>
    </w:p>
    <w:p w14:paraId="536CBFB0"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Life cycle assessment of paper-based products. (2025). </w:t>
      </w:r>
      <w:r w:rsidRPr="002A5AE2">
        <w:rPr>
          <w:rFonts w:ascii="Arial" w:hAnsi="Arial" w:cs="Arial"/>
          <w:i/>
          <w:sz w:val="24"/>
          <w:szCs w:val="24"/>
        </w:rPr>
        <w:t>Chemical Engineering Transactions, 122</w:t>
      </w:r>
      <w:r w:rsidRPr="002A5AE2">
        <w:rPr>
          <w:rFonts w:ascii="Arial" w:hAnsi="Arial" w:cs="Arial"/>
          <w:sz w:val="24"/>
          <w:szCs w:val="24"/>
        </w:rPr>
        <w:t>. https://doi.org/10.3303/CET25122048</w:t>
      </w:r>
    </w:p>
    <w:p w14:paraId="0E02AE2A"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Meng, F., Liu, G., Yang, Z., &amp; Wang, Y. (2021). Sustainability evaluation of tissue paper under different production paths. </w:t>
      </w:r>
      <w:r w:rsidRPr="002A5AE2">
        <w:rPr>
          <w:rFonts w:ascii="Arial" w:hAnsi="Arial" w:cs="Arial"/>
          <w:i/>
          <w:sz w:val="24"/>
          <w:szCs w:val="24"/>
        </w:rPr>
        <w:t>ACS Sustainable Chemistry &amp; Engineering, 9</w:t>
      </w:r>
      <w:r w:rsidRPr="002A5AE2">
        <w:rPr>
          <w:rFonts w:ascii="Arial" w:hAnsi="Arial" w:cs="Arial"/>
          <w:sz w:val="24"/>
          <w:szCs w:val="24"/>
        </w:rPr>
        <w:t>(21), 7234–7245. https://doi.org/10.1021/acssuschemeng.1c01655</w:t>
      </w:r>
    </w:p>
    <w:p w14:paraId="17E031F7"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Meng, X., Zhang, Y., &amp; Li, H. (2024). Assessing the role of circular economy in provincial low-carbon transitions within China's pulp and paper industry. </w:t>
      </w:r>
      <w:r w:rsidRPr="002A5AE2">
        <w:rPr>
          <w:rFonts w:ascii="Arial" w:hAnsi="Arial" w:cs="Arial"/>
          <w:i/>
          <w:sz w:val="24"/>
          <w:szCs w:val="24"/>
        </w:rPr>
        <w:t>Energy, Ecology and Environment, 29</w:t>
      </w:r>
      <w:r w:rsidRPr="002A5AE2">
        <w:rPr>
          <w:rFonts w:ascii="Arial" w:hAnsi="Arial" w:cs="Arial"/>
          <w:sz w:val="24"/>
          <w:szCs w:val="24"/>
        </w:rPr>
        <w:t>(3), 245–262. https://doi.org/10.1007/s40974-024-00350-8</w:t>
      </w:r>
    </w:p>
    <w:p w14:paraId="0EE986C2" w14:textId="77777777" w:rsidR="00AF58BD" w:rsidRPr="002A5AE2" w:rsidRDefault="00000000" w:rsidP="002A5AE2">
      <w:pPr>
        <w:pStyle w:val="Prrafodelista"/>
        <w:numPr>
          <w:ilvl w:val="0"/>
          <w:numId w:val="11"/>
        </w:numPr>
        <w:jc w:val="both"/>
        <w:rPr>
          <w:rFonts w:ascii="Arial" w:hAnsi="Arial" w:cs="Arial"/>
          <w:sz w:val="24"/>
          <w:szCs w:val="24"/>
        </w:rPr>
      </w:pPr>
      <w:proofErr w:type="spellStart"/>
      <w:r w:rsidRPr="002A5AE2">
        <w:rPr>
          <w:rFonts w:ascii="Arial" w:hAnsi="Arial" w:cs="Arial"/>
          <w:sz w:val="24"/>
          <w:szCs w:val="24"/>
          <w:lang w:val="es-PE"/>
        </w:rPr>
        <w:t>Patalas</w:t>
      </w:r>
      <w:proofErr w:type="spellEnd"/>
      <w:r w:rsidRPr="002A5AE2">
        <w:rPr>
          <w:rFonts w:ascii="Arial" w:hAnsi="Arial" w:cs="Arial"/>
          <w:sz w:val="24"/>
          <w:szCs w:val="24"/>
          <w:lang w:val="es-PE"/>
        </w:rPr>
        <w:t xml:space="preserve">-Maliszewska, J., &amp; Gola, A. (2024). </w:t>
      </w:r>
      <w:r w:rsidRPr="002A5AE2">
        <w:rPr>
          <w:rFonts w:ascii="Arial" w:hAnsi="Arial" w:cs="Arial"/>
          <w:sz w:val="24"/>
          <w:szCs w:val="24"/>
        </w:rPr>
        <w:t xml:space="preserve">Integrating artificial intelligence into the supply chain </w:t>
      </w:r>
      <w:proofErr w:type="gramStart"/>
      <w:r w:rsidRPr="002A5AE2">
        <w:rPr>
          <w:rFonts w:ascii="Arial" w:hAnsi="Arial" w:cs="Arial"/>
          <w:sz w:val="24"/>
          <w:szCs w:val="24"/>
        </w:rPr>
        <w:t>in order to</w:t>
      </w:r>
      <w:proofErr w:type="gramEnd"/>
      <w:r w:rsidRPr="002A5AE2">
        <w:rPr>
          <w:rFonts w:ascii="Arial" w:hAnsi="Arial" w:cs="Arial"/>
          <w:sz w:val="24"/>
          <w:szCs w:val="24"/>
        </w:rPr>
        <w:t xml:space="preserve"> enhance sustainable production: A systematic literature review. </w:t>
      </w:r>
      <w:r w:rsidRPr="002A5AE2">
        <w:rPr>
          <w:rFonts w:ascii="Arial" w:hAnsi="Arial" w:cs="Arial"/>
          <w:i/>
          <w:sz w:val="24"/>
          <w:szCs w:val="24"/>
        </w:rPr>
        <w:t>Sustainability, 16</w:t>
      </w:r>
      <w:r w:rsidRPr="002A5AE2">
        <w:rPr>
          <w:rFonts w:ascii="Arial" w:hAnsi="Arial" w:cs="Arial"/>
          <w:sz w:val="24"/>
          <w:szCs w:val="24"/>
        </w:rPr>
        <w:t>(16), 7110. https://doi.org/10.3390/su16167110</w:t>
      </w:r>
    </w:p>
    <w:p w14:paraId="2FE37288"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Rethinking the paper product carbon footprint accounting standard from a life-cycle perspective. (2023). </w:t>
      </w:r>
      <w:r w:rsidRPr="002A5AE2">
        <w:rPr>
          <w:rFonts w:ascii="Arial" w:hAnsi="Arial" w:cs="Arial"/>
          <w:i/>
          <w:sz w:val="24"/>
          <w:szCs w:val="24"/>
        </w:rPr>
        <w:t>Journal of Cleaner Production, 395</w:t>
      </w:r>
      <w:r w:rsidRPr="002A5AE2">
        <w:rPr>
          <w:rFonts w:ascii="Arial" w:hAnsi="Arial" w:cs="Arial"/>
          <w:sz w:val="24"/>
          <w:szCs w:val="24"/>
        </w:rPr>
        <w:t>, 136421.</w:t>
      </w:r>
    </w:p>
    <w:p w14:paraId="43AD8BC5"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Samuels, A., Johnson, R., &amp; Martinez, L. (2025). Digital transformation in supply chains: Improving resilience and sustainability through AI, blockchain, and IoT. </w:t>
      </w:r>
      <w:r w:rsidRPr="002A5AE2">
        <w:rPr>
          <w:rFonts w:ascii="Arial" w:hAnsi="Arial" w:cs="Arial"/>
          <w:i/>
          <w:sz w:val="24"/>
          <w:szCs w:val="24"/>
        </w:rPr>
        <w:t>Frontiers in Sustainability, 6</w:t>
      </w:r>
      <w:r w:rsidRPr="002A5AE2">
        <w:rPr>
          <w:rFonts w:ascii="Arial" w:hAnsi="Arial" w:cs="Arial"/>
          <w:sz w:val="24"/>
          <w:szCs w:val="24"/>
        </w:rPr>
        <w:t>, 1584580. https://doi.org/10.3389/frsus.2025.1584580</w:t>
      </w:r>
    </w:p>
    <w:p w14:paraId="73D7DF87"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Wu, T., &amp; Zuo, M. (2023). Green supply chain transformation and emission reduction based on machine learning. </w:t>
      </w:r>
      <w:r w:rsidRPr="002A5AE2">
        <w:rPr>
          <w:rFonts w:ascii="Arial" w:hAnsi="Arial" w:cs="Arial"/>
          <w:i/>
          <w:sz w:val="24"/>
          <w:szCs w:val="24"/>
        </w:rPr>
        <w:t>Theoretical and Applied Economics, 30</w:t>
      </w:r>
      <w:r w:rsidRPr="002A5AE2">
        <w:rPr>
          <w:rFonts w:ascii="Arial" w:hAnsi="Arial" w:cs="Arial"/>
          <w:sz w:val="24"/>
          <w:szCs w:val="24"/>
        </w:rPr>
        <w:t>(2), 115–134. https://doi.org/10.1177/00368504231165679</w:t>
      </w:r>
    </w:p>
    <w:p w14:paraId="3BA72B84"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Methodological references added for this protocol</w:t>
      </w:r>
    </w:p>
    <w:p w14:paraId="2059668C" w14:textId="77777777" w:rsidR="00AF58BD" w:rsidRPr="002A5AE2" w:rsidRDefault="00000000" w:rsidP="002A5AE2">
      <w:pPr>
        <w:pStyle w:val="Prrafodelista"/>
        <w:numPr>
          <w:ilvl w:val="0"/>
          <w:numId w:val="12"/>
        </w:numPr>
        <w:jc w:val="both"/>
        <w:rPr>
          <w:rFonts w:ascii="Arial" w:hAnsi="Arial" w:cs="Arial"/>
          <w:sz w:val="24"/>
          <w:szCs w:val="24"/>
        </w:rPr>
      </w:pPr>
      <w:r w:rsidRPr="002A5AE2">
        <w:rPr>
          <w:rFonts w:ascii="Arial" w:hAnsi="Arial" w:cs="Arial"/>
          <w:sz w:val="24"/>
          <w:szCs w:val="24"/>
        </w:rPr>
        <w:t xml:space="preserve">Chen, T., &amp; </w:t>
      </w:r>
      <w:proofErr w:type="spellStart"/>
      <w:r w:rsidRPr="002A5AE2">
        <w:rPr>
          <w:rFonts w:ascii="Arial" w:hAnsi="Arial" w:cs="Arial"/>
          <w:sz w:val="24"/>
          <w:szCs w:val="24"/>
        </w:rPr>
        <w:t>Guestrin</w:t>
      </w:r>
      <w:proofErr w:type="spellEnd"/>
      <w:r w:rsidRPr="002A5AE2">
        <w:rPr>
          <w:rFonts w:ascii="Arial" w:hAnsi="Arial" w:cs="Arial"/>
          <w:sz w:val="24"/>
          <w:szCs w:val="24"/>
        </w:rPr>
        <w:t xml:space="preserve">, C. (2016). </w:t>
      </w:r>
      <w:proofErr w:type="spellStart"/>
      <w:r w:rsidRPr="002A5AE2">
        <w:rPr>
          <w:rFonts w:ascii="Arial" w:hAnsi="Arial" w:cs="Arial"/>
          <w:sz w:val="24"/>
          <w:szCs w:val="24"/>
        </w:rPr>
        <w:t>XGBoost</w:t>
      </w:r>
      <w:proofErr w:type="spellEnd"/>
      <w:r w:rsidRPr="002A5AE2">
        <w:rPr>
          <w:rFonts w:ascii="Arial" w:hAnsi="Arial" w:cs="Arial"/>
          <w:sz w:val="24"/>
          <w:szCs w:val="24"/>
        </w:rPr>
        <w:t xml:space="preserve">: A scalable tree boosting system. In </w:t>
      </w:r>
      <w:r w:rsidRPr="002A5AE2">
        <w:rPr>
          <w:rFonts w:ascii="Arial" w:hAnsi="Arial" w:cs="Arial"/>
          <w:i/>
          <w:sz w:val="24"/>
          <w:szCs w:val="24"/>
        </w:rPr>
        <w:t>Proceedings of the 22nd ACM SIGKDD International Conference on Knowledge Discovery and Data Mining</w:t>
      </w:r>
      <w:r w:rsidRPr="002A5AE2">
        <w:rPr>
          <w:rFonts w:ascii="Arial" w:hAnsi="Arial" w:cs="Arial"/>
          <w:sz w:val="24"/>
          <w:szCs w:val="24"/>
        </w:rPr>
        <w:t xml:space="preserve"> (pp. 785–794).</w:t>
      </w:r>
    </w:p>
    <w:p w14:paraId="2059668C" w14:textId="77777777" w:rsidR="00AF58BD" w:rsidRPr="002A5AE2" w:rsidRDefault="00000000" w:rsidP="002A5AE2">
      <w:pPr>
        <w:pStyle w:val="Prrafodelista"/>
        <w:numPr>
          <w:ilvl w:val="0"/>
          <w:numId w:val="12"/>
        </w:numPr>
        <w:jc w:val="both"/>
        <w:rPr>
          <w:rFonts w:ascii="Arial" w:hAnsi="Arial" w:cs="Arial"/>
          <w:sz w:val="24"/>
          <w:szCs w:val="24"/>
        </w:rPr>
      </w:pPr>
      <w:r>
        <w:rPr>
          <w:rFonts w:ascii="Arial" w:hAnsi="Arial" w:cs="Arial"/>
          <w:sz w:val="24"/>
          <w:szCs w:val="24"/>
        </w:rPr>
        <w:t>Cohen, J. (1960). A coefficient of agreement for nominal scales. Educational and Psychological Measurement, 20(1), 37–46. https://doi.org/10.1177/001316446002000104</w:t>
      </w:r>
    </w:p>
    <w:p w14:paraId="097C5A17" w14:textId="77777777" w:rsidR="00AF58BD" w:rsidRPr="002A5AE2" w:rsidRDefault="00000000" w:rsidP="002A5AE2">
      <w:pPr>
        <w:pStyle w:val="Prrafodelista"/>
        <w:numPr>
          <w:ilvl w:val="0"/>
          <w:numId w:val="12"/>
        </w:numPr>
        <w:jc w:val="both"/>
        <w:rPr>
          <w:rFonts w:ascii="Arial" w:hAnsi="Arial" w:cs="Arial"/>
          <w:sz w:val="24"/>
          <w:szCs w:val="24"/>
        </w:rPr>
      </w:pPr>
      <w:r w:rsidRPr="002A5AE2">
        <w:rPr>
          <w:rFonts w:ascii="Arial" w:hAnsi="Arial" w:cs="Arial"/>
          <w:sz w:val="24"/>
          <w:szCs w:val="24"/>
        </w:rPr>
        <w:t xml:space="preserve">Liu, F. T., Ting, K. M., &amp; Zhou, Z.-H. (2008). Isolation forest. In </w:t>
      </w:r>
      <w:r w:rsidRPr="002A5AE2">
        <w:rPr>
          <w:rFonts w:ascii="Arial" w:hAnsi="Arial" w:cs="Arial"/>
          <w:i/>
          <w:sz w:val="24"/>
          <w:szCs w:val="24"/>
        </w:rPr>
        <w:t>Proceedings of the 8th IEEE International Conference on Data Mining</w:t>
      </w:r>
      <w:r w:rsidRPr="002A5AE2">
        <w:rPr>
          <w:rFonts w:ascii="Arial" w:hAnsi="Arial" w:cs="Arial"/>
          <w:sz w:val="24"/>
          <w:szCs w:val="24"/>
        </w:rPr>
        <w:t xml:space="preserve"> (pp. 413–422).</w:t>
      </w:r>
    </w:p>
    <w:p w14:paraId="0298E8C5" w14:textId="77777777" w:rsidR="00AF58BD" w:rsidRPr="002A5AE2" w:rsidRDefault="00000000" w:rsidP="002A5AE2">
      <w:pPr>
        <w:pStyle w:val="Prrafodelista"/>
        <w:numPr>
          <w:ilvl w:val="0"/>
          <w:numId w:val="12"/>
        </w:numPr>
        <w:jc w:val="both"/>
        <w:rPr>
          <w:rFonts w:ascii="Arial" w:hAnsi="Arial" w:cs="Arial"/>
          <w:sz w:val="24"/>
          <w:szCs w:val="24"/>
        </w:rPr>
      </w:pPr>
      <w:r w:rsidRPr="002A5AE2">
        <w:rPr>
          <w:rFonts w:ascii="Arial" w:hAnsi="Arial" w:cs="Arial"/>
          <w:sz w:val="24"/>
          <w:szCs w:val="24"/>
        </w:rPr>
        <w:t xml:space="preserve">Lundberg, S. M., &amp; Lee, S.-I. (2017). A unified approach to interpreting model predictions. In </w:t>
      </w:r>
      <w:r w:rsidRPr="002A5AE2">
        <w:rPr>
          <w:rFonts w:ascii="Arial" w:hAnsi="Arial" w:cs="Arial"/>
          <w:i/>
          <w:sz w:val="24"/>
          <w:szCs w:val="24"/>
        </w:rPr>
        <w:t>Advances in Neural Information Processing Systems 30</w:t>
      </w:r>
      <w:r w:rsidRPr="002A5AE2">
        <w:rPr>
          <w:rFonts w:ascii="Arial" w:hAnsi="Arial" w:cs="Arial"/>
          <w:sz w:val="24"/>
          <w:szCs w:val="24"/>
        </w:rPr>
        <w:t>.</w:t>
      </w:r>
    </w:p>
    <w:p w14:paraId="0298E8C5" w14:textId="77777777" w:rsidR="00AF58BD" w:rsidRPr="002A5AE2" w:rsidRDefault="00000000" w:rsidP="002A5AE2">
      <w:pPr>
        <w:pStyle w:val="Prrafodelista"/>
        <w:numPr>
          <w:ilvl w:val="0"/>
          <w:numId w:val="12"/>
        </w:numPr>
        <w:jc w:val="both"/>
        <w:rPr>
          <w:rFonts w:ascii="Arial" w:hAnsi="Arial" w:cs="Arial"/>
          <w:sz w:val="24"/>
          <w:szCs w:val="24"/>
        </w:rPr>
      </w:pPr>
      <w:r>
        <w:rPr>
          <w:rFonts w:ascii="Arial" w:hAnsi="Arial" w:cs="Arial"/>
          <w:sz w:val="24"/>
          <w:szCs w:val="24"/>
        </w:rPr>
        <w:t>Nadeau, C., &amp; Bengio, Y. (2003). Inference for the generalization error. Machine Learning, 52(3), 239–281. https://doi.org/10.1023/A:1024068626366</w:t>
      </w:r>
    </w:p>
    <w:p w14:paraId="794CDCC8" w14:textId="2154D32E" w:rsidR="00AF58BD" w:rsidRPr="002A5AE2" w:rsidRDefault="00AF58BD" w:rsidP="002A5AE2">
      <w:pPr>
        <w:pStyle w:val="Prrafodelista"/>
        <w:jc w:val="both"/>
        <w:rPr>
          <w:rFonts w:ascii="Arial" w:hAnsi="Arial" w:cs="Arial"/>
          <w:sz w:val="24"/>
          <w:szCs w:val="24"/>
        </w:rPr>
      </w:pPr>
    </w:p>
    <w:sectPr w:rsidR="00AF58BD" w:rsidRPr="002A5AE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66FA8"/>
    <w:multiLevelType w:val="hybridMultilevel"/>
    <w:tmpl w:val="9BDA6816"/>
    <w:lvl w:ilvl="0" w:tplc="87B258BE">
      <w:start w:val="1"/>
      <w:numFmt w:val="bullet"/>
      <w:lvlText w:val="•"/>
      <w:lvlJc w:val="left"/>
      <w:pPr>
        <w:ind w:left="720" w:hanging="360"/>
      </w:pPr>
    </w:lvl>
    <w:lvl w:ilvl="1" w:tplc="E8F6C156">
      <w:start w:val="1"/>
      <w:numFmt w:val="bullet"/>
      <w:lvlText w:val="o"/>
      <w:lvlJc w:val="left"/>
      <w:pPr>
        <w:ind w:left="1440" w:hanging="360"/>
      </w:pPr>
    </w:lvl>
    <w:lvl w:ilvl="2" w:tplc="94FC1C1A">
      <w:start w:val="1"/>
      <w:numFmt w:val="bullet"/>
      <w:lvlText w:val="▪"/>
      <w:lvlJc w:val="left"/>
      <w:pPr>
        <w:ind w:left="2160" w:hanging="360"/>
      </w:pPr>
    </w:lvl>
    <w:lvl w:ilvl="3" w:tplc="5D169580">
      <w:start w:val="1"/>
      <w:numFmt w:val="bullet"/>
      <w:lvlText w:val="•"/>
      <w:lvlJc w:val="left"/>
      <w:pPr>
        <w:ind w:left="2880" w:hanging="360"/>
      </w:pPr>
    </w:lvl>
    <w:lvl w:ilvl="4" w:tplc="B5284550">
      <w:start w:val="1"/>
      <w:numFmt w:val="bullet"/>
      <w:lvlText w:val="o"/>
      <w:lvlJc w:val="left"/>
      <w:pPr>
        <w:ind w:left="3600" w:hanging="360"/>
      </w:pPr>
    </w:lvl>
    <w:lvl w:ilvl="5" w:tplc="78DCF60E">
      <w:start w:val="1"/>
      <w:numFmt w:val="bullet"/>
      <w:lvlText w:val="▪"/>
      <w:lvlJc w:val="left"/>
      <w:pPr>
        <w:ind w:left="4320" w:hanging="360"/>
      </w:pPr>
    </w:lvl>
    <w:lvl w:ilvl="6" w:tplc="1BF4E85A">
      <w:start w:val="1"/>
      <w:numFmt w:val="bullet"/>
      <w:lvlText w:val="•"/>
      <w:lvlJc w:val="left"/>
      <w:pPr>
        <w:ind w:left="5040" w:hanging="360"/>
      </w:pPr>
    </w:lvl>
    <w:lvl w:ilvl="7" w:tplc="4EA809D4">
      <w:start w:val="1"/>
      <w:numFmt w:val="bullet"/>
      <w:lvlText w:val="o"/>
      <w:lvlJc w:val="left"/>
      <w:pPr>
        <w:ind w:left="5760" w:hanging="360"/>
      </w:pPr>
    </w:lvl>
    <w:lvl w:ilvl="8" w:tplc="6D54C896">
      <w:start w:val="1"/>
      <w:numFmt w:val="bullet"/>
      <w:lvlText w:val="▪"/>
      <w:lvlJc w:val="left"/>
      <w:pPr>
        <w:ind w:left="6480" w:hanging="360"/>
      </w:pPr>
    </w:lvl>
  </w:abstractNum>
  <w:abstractNum w:abstractNumId="1" w15:restartNumberingAfterBreak="0">
    <w:nsid w:val="77B23488"/>
    <w:multiLevelType w:val="hybridMultilevel"/>
    <w:tmpl w:val="F7146576"/>
    <w:lvl w:ilvl="0" w:tplc="DB40DFA4">
      <w:start w:val="1"/>
      <w:numFmt w:val="decimal"/>
      <w:lvlText w:val="%1."/>
      <w:lvlJc w:val="left"/>
      <w:pPr>
        <w:ind w:left="720" w:hanging="360"/>
      </w:pPr>
    </w:lvl>
    <w:lvl w:ilvl="1" w:tplc="42460CCC">
      <w:start w:val="1"/>
      <w:numFmt w:val="lowerLetter"/>
      <w:lvlText w:val="%2."/>
      <w:lvlJc w:val="left"/>
      <w:pPr>
        <w:ind w:left="1440" w:hanging="360"/>
      </w:pPr>
    </w:lvl>
    <w:lvl w:ilvl="2" w:tplc="3A5ADDF2">
      <w:start w:val="1"/>
      <w:numFmt w:val="lowerRoman"/>
      <w:lvlText w:val="%3."/>
      <w:lvlJc w:val="left"/>
      <w:pPr>
        <w:ind w:left="2160" w:hanging="360"/>
      </w:pPr>
    </w:lvl>
    <w:lvl w:ilvl="3" w:tplc="1F2E75A4">
      <w:start w:val="1"/>
      <w:numFmt w:val="decimal"/>
      <w:lvlText w:val="%4."/>
      <w:lvlJc w:val="left"/>
      <w:pPr>
        <w:ind w:left="2880" w:hanging="360"/>
      </w:pPr>
    </w:lvl>
    <w:lvl w:ilvl="4" w:tplc="8E9210DC">
      <w:start w:val="1"/>
      <w:numFmt w:val="lowerLetter"/>
      <w:lvlText w:val="%5."/>
      <w:lvlJc w:val="left"/>
      <w:pPr>
        <w:ind w:left="3600" w:hanging="360"/>
      </w:pPr>
    </w:lvl>
    <w:lvl w:ilvl="5" w:tplc="2BB29380">
      <w:start w:val="1"/>
      <w:numFmt w:val="lowerRoman"/>
      <w:lvlText w:val="%6."/>
      <w:lvlJc w:val="left"/>
      <w:pPr>
        <w:ind w:left="4320" w:hanging="360"/>
      </w:pPr>
    </w:lvl>
    <w:lvl w:ilvl="6" w:tplc="12328C28">
      <w:start w:val="1"/>
      <w:numFmt w:val="decimal"/>
      <w:lvlText w:val="%7."/>
      <w:lvlJc w:val="left"/>
      <w:pPr>
        <w:ind w:left="5040" w:hanging="360"/>
      </w:pPr>
    </w:lvl>
    <w:lvl w:ilvl="7" w:tplc="7B6A0404">
      <w:start w:val="1"/>
      <w:numFmt w:val="lowerLetter"/>
      <w:lvlText w:val="%8."/>
      <w:lvlJc w:val="left"/>
      <w:pPr>
        <w:ind w:left="5760" w:hanging="360"/>
      </w:pPr>
    </w:lvl>
    <w:lvl w:ilvl="8" w:tplc="7B2AA0D2">
      <w:start w:val="1"/>
      <w:numFmt w:val="lowerRoman"/>
      <w:lvlText w:val="%9."/>
      <w:lvlJc w:val="left"/>
      <w:pPr>
        <w:ind w:left="6480" w:hanging="360"/>
      </w:pPr>
    </w:lvl>
  </w:abstractNum>
  <w:num w:numId="1" w16cid:durableId="1201743768">
    <w:abstractNumId w:val="0"/>
  </w:num>
  <w:num w:numId="2" w16cid:durableId="1636906865">
    <w:abstractNumId w:val="0"/>
  </w:num>
  <w:num w:numId="3" w16cid:durableId="1079445475">
    <w:abstractNumId w:val="1"/>
    <w:lvlOverride w:ilvl="0">
      <w:startOverride w:val="1"/>
    </w:lvlOverride>
  </w:num>
  <w:num w:numId="4" w16cid:durableId="725228766">
    <w:abstractNumId w:val="0"/>
  </w:num>
  <w:num w:numId="5" w16cid:durableId="1034617066">
    <w:abstractNumId w:val="0"/>
  </w:num>
  <w:num w:numId="6" w16cid:durableId="1154418006">
    <w:abstractNumId w:val="1"/>
    <w:lvlOverride w:ilvl="0">
      <w:startOverride w:val="1"/>
    </w:lvlOverride>
  </w:num>
  <w:num w:numId="7" w16cid:durableId="2125348832">
    <w:abstractNumId w:val="0"/>
  </w:num>
  <w:num w:numId="8" w16cid:durableId="261305523">
    <w:abstractNumId w:val="0"/>
  </w:num>
  <w:num w:numId="9" w16cid:durableId="905530025">
    <w:abstractNumId w:val="0"/>
  </w:num>
  <w:num w:numId="10" w16cid:durableId="634022451">
    <w:abstractNumId w:val="0"/>
  </w:num>
  <w:num w:numId="11" w16cid:durableId="1557205875">
    <w:abstractNumId w:val="0"/>
  </w:num>
  <w:num w:numId="12" w16cid:durableId="364059620">
    <w:abstractNumId w:val="0"/>
  </w:num>
  <w:num w:numId="13" w16cid:durableId="86585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8BD"/>
    <w:rsid w:val="002A5AE2"/>
    <w:rsid w:val="00521124"/>
    <w:rsid w:val="00AF58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B0D63"/>
  <w15:docId w15:val="{53C71ABC-BD46-4657-A14B-AA8E65A0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A5A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4071</Words>
  <Characters>22718</Characters>
  <Application>Microsoft Office Word</Application>
  <DocSecurity>0</DocSecurity>
  <Lines>597</Lines>
  <Paragraphs>362</Paragraphs>
  <ScaleCrop>false</ScaleCrop>
  <Company/>
  <LinksUpToDate>false</LinksUpToDate>
  <CharactersWithSpaces>26427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Protocol — Sustainable Import Patterns in Peru's Paper Products Sector</dc:title>
  <dc:creator>Angela</dc:creator>
  <dc:description>Claude Docs node/cbb30409-4ba3@9 docx-w6</dc:description>
  <cp:lastModifiedBy>Angela Acosta Ticona</cp:lastModifiedBy>
  <cp:revision>2</cp:revision>
  <dcterms:created xsi:type="dcterms:W3CDTF">2026-09-26T04:23:00Z</dcterms:created>
  <dcterms:modified xsi:type="dcterms:W3CDTF">2026-09-26T04:23:00Z</dcterms:modified>
</cp:coreProperties>
</file>