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C8E74" w14:textId="77777777" w:rsidR="00AD3D30" w:rsidRDefault="00AD3D30" w:rsidP="00AD3D30">
      <w:pPr>
        <w:spacing w:before="200" w:after="80"/>
        <w:jc w:val="center"/>
      </w:pPr>
      <w:bookmarkStart w:id="0" w:name="X1deb20bd161c27f7ae969ecc07db3dc5c082086"/>
      <w:r>
        <w:rPr>
          <w:b/>
          <w:bCs/>
          <w:color w:val="1F3864"/>
          <w:spacing w:val="20"/>
          <w:sz w:val="34"/>
          <w:szCs w:val="34"/>
        </w:rPr>
        <w:t>NATIONAL UNIVERSITY OF SAN MARCOS</w:t>
      </w:r>
    </w:p>
    <w:p w14:paraId="39A1C9D0" w14:textId="77777777" w:rsidR="00AD3D30" w:rsidRDefault="00AD3D30" w:rsidP="00AD3D30">
      <w:pPr>
        <w:pBdr>
          <w:bottom w:val="single" w:sz="12" w:space="8" w:color="2E75B6"/>
        </w:pBdr>
        <w:spacing w:after="240"/>
        <w:jc w:val="center"/>
      </w:pPr>
    </w:p>
    <w:p w14:paraId="0EC809F5" w14:textId="77777777" w:rsidR="00AD3D30" w:rsidRDefault="00AD3D30" w:rsidP="00AD3D30">
      <w:pPr>
        <w:keepNext/>
        <w:spacing w:before="120" w:after="60"/>
        <w:jc w:val="center"/>
      </w:pPr>
      <w:r>
        <w:rPr>
          <w:noProof/>
        </w:rPr>
        <w:drawing>
          <wp:inline distT="0" distB="0" distL="0" distR="0" wp14:anchorId="1645301F" wp14:editId="7753D2A1">
            <wp:extent cx="1419225" cy="2095500"/>
            <wp:effectExtent l="0" t="0" r="0" b="0"/>
            <wp:docPr id="1" name="image1.jpeg" descr="image"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19225" cy="2095500"/>
                    </a:xfrm>
                    <a:prstGeom prst="rect">
                      <a:avLst/>
                    </a:prstGeom>
                  </pic:spPr>
                </pic:pic>
              </a:graphicData>
            </a:graphic>
          </wp:inline>
        </w:drawing>
      </w:r>
    </w:p>
    <w:p w14:paraId="2B32A3DE" w14:textId="77777777" w:rsidR="00AD3D30" w:rsidRPr="001A5ED0" w:rsidRDefault="00AD3D30" w:rsidP="00AD3D30">
      <w:pPr>
        <w:spacing w:before="200" w:after="360"/>
        <w:ind w:left="400" w:right="400"/>
        <w:jc w:val="center"/>
      </w:pPr>
      <w:r>
        <w:rPr>
          <w:b/>
          <w:bCs/>
          <w:color w:val="595959"/>
          <w:sz w:val="26"/>
          <w:szCs w:val="26"/>
        </w:rPr>
        <w:br/>
      </w:r>
      <w:r w:rsidRPr="001A5ED0">
        <w:rPr>
          <w:b/>
          <w:bCs/>
          <w:color w:val="595959"/>
          <w:sz w:val="26"/>
          <w:szCs w:val="26"/>
        </w:rPr>
        <w:t>Doctoral Program in Deep Tech, Artificial Intelligence &amp; Emerging Technologies</w:t>
      </w:r>
      <w:r>
        <w:rPr>
          <w:b/>
          <w:bCs/>
          <w:color w:val="595959"/>
          <w:sz w:val="26"/>
          <w:szCs w:val="26"/>
        </w:rPr>
        <w:br/>
      </w:r>
      <w:r w:rsidRPr="002A5AE2">
        <w:t>Faculty of Systems Engineering and Informatics</w:t>
      </w:r>
    </w:p>
    <w:p w14:paraId="50C54766" w14:textId="7E0D556B" w:rsidR="00AD3D30" w:rsidRPr="001A5ED0" w:rsidRDefault="00AD3D30" w:rsidP="00AD3D30">
      <w:pPr>
        <w:spacing w:after="80"/>
        <w:jc w:val="center"/>
      </w:pPr>
      <w:r>
        <w:rPr>
          <w:b/>
          <w:bCs/>
          <w:color w:val="2E75B6"/>
          <w:spacing w:val="40"/>
          <w:sz w:val="30"/>
          <w:szCs w:val="30"/>
          <w:u w:val="single"/>
        </w:rPr>
        <w:br/>
      </w:r>
      <w:r>
        <w:rPr>
          <w:b/>
          <w:bCs/>
          <w:color w:val="2E75B6"/>
          <w:spacing w:val="40"/>
          <w:sz w:val="30"/>
          <w:szCs w:val="30"/>
          <w:u w:val="single"/>
        </w:rPr>
        <w:br/>
      </w:r>
      <w:r w:rsidRPr="001A5ED0">
        <w:rPr>
          <w:b/>
          <w:bCs/>
          <w:color w:val="2E75B6"/>
          <w:spacing w:val="40"/>
          <w:sz w:val="30"/>
          <w:szCs w:val="30"/>
          <w:u w:val="single"/>
        </w:rPr>
        <w:t xml:space="preserve">ASSIGNMENT </w:t>
      </w:r>
      <w:r>
        <w:rPr>
          <w:b/>
          <w:bCs/>
          <w:color w:val="2E75B6"/>
          <w:spacing w:val="40"/>
          <w:sz w:val="30"/>
          <w:szCs w:val="30"/>
          <w:u w:val="single"/>
        </w:rPr>
        <w:t xml:space="preserve">N° </w:t>
      </w:r>
      <w:r>
        <w:rPr>
          <w:b/>
          <w:bCs/>
          <w:color w:val="2E75B6"/>
          <w:spacing w:val="40"/>
          <w:sz w:val="30"/>
          <w:szCs w:val="30"/>
          <w:u w:val="single"/>
        </w:rPr>
        <w:t>4</w:t>
      </w:r>
    </w:p>
    <w:p w14:paraId="3B510665" w14:textId="720B1C99" w:rsidR="00AD3D30" w:rsidRPr="001A5ED0" w:rsidRDefault="00AD3D30" w:rsidP="00AD3D30">
      <w:pPr>
        <w:spacing w:after="480"/>
        <w:jc w:val="center"/>
      </w:pPr>
      <w:r w:rsidRPr="00AD3D30">
        <w:rPr>
          <w:b/>
          <w:bCs/>
          <w:color w:val="1F3864"/>
          <w:sz w:val="44"/>
          <w:szCs w:val="44"/>
        </w:rPr>
        <w:t>Mini Systematic Review, PRISMA 2020 Flow Diagram &amp; Gap Analysis</w:t>
      </w:r>
    </w:p>
    <w:tbl>
      <w:tblPr>
        <w:tblW w:w="8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400"/>
        <w:gridCol w:w="1900"/>
      </w:tblGrid>
      <w:tr w:rsidR="00AD3D30" w14:paraId="3BB0C364" w14:textId="77777777" w:rsidTr="005D3AE3">
        <w:trPr>
          <w:jc w:val="center"/>
        </w:trPr>
        <w:tc>
          <w:tcPr>
            <w:tcW w:w="1900" w:type="dxa"/>
            <w:tcBorders>
              <w:top w:val="none" w:sz="0" w:space="0" w:color="FFFFFF"/>
              <w:left w:val="none" w:sz="0" w:space="0" w:color="FFFFFF"/>
              <w:bottom w:val="single" w:sz="4" w:space="0" w:color="D9DEE7"/>
              <w:right w:val="none" w:sz="0" w:space="0" w:color="FFFFFF"/>
            </w:tcBorders>
            <w:tcMar>
              <w:top w:w="70" w:type="dxa"/>
              <w:left w:w="100" w:type="dxa"/>
              <w:bottom w:w="70" w:type="dxa"/>
              <w:right w:w="100" w:type="dxa"/>
            </w:tcMar>
            <w:vAlign w:val="center"/>
          </w:tcPr>
          <w:p w14:paraId="2E6F3193" w14:textId="77777777" w:rsidR="00AD3D30" w:rsidRDefault="00AD3D30" w:rsidP="00AD3D30">
            <w:pPr>
              <w:spacing w:after="0"/>
            </w:pPr>
            <w:r>
              <w:rPr>
                <w:b/>
                <w:bCs/>
                <w:color w:val="1F3864"/>
                <w:sz w:val="21"/>
                <w:szCs w:val="21"/>
              </w:rPr>
              <w:t>Professor</w:t>
            </w:r>
          </w:p>
        </w:tc>
        <w:tc>
          <w:tcPr>
            <w:tcW w:w="4400" w:type="dxa"/>
            <w:tcBorders>
              <w:top w:val="none" w:sz="0" w:space="0" w:color="FFFFFF"/>
              <w:left w:val="none" w:sz="0" w:space="0" w:color="FFFFFF"/>
              <w:bottom w:val="single" w:sz="4" w:space="0" w:color="D9DEE7"/>
              <w:right w:val="none" w:sz="0" w:space="0" w:color="FFFFFF"/>
            </w:tcBorders>
            <w:tcMar>
              <w:top w:w="70" w:type="dxa"/>
              <w:left w:w="100" w:type="dxa"/>
              <w:bottom w:w="70" w:type="dxa"/>
              <w:right w:w="100" w:type="dxa"/>
            </w:tcMar>
            <w:vAlign w:val="center"/>
          </w:tcPr>
          <w:p w14:paraId="7ACDA8EB" w14:textId="77777777" w:rsidR="00AD3D30" w:rsidRDefault="00AD3D30" w:rsidP="00AD3D30">
            <w:pPr>
              <w:spacing w:after="0"/>
            </w:pPr>
            <w:r w:rsidRPr="002A5AE2">
              <w:t>Dr. Loveleen Gaur</w:t>
            </w:r>
          </w:p>
        </w:tc>
        <w:tc>
          <w:tcPr>
            <w:tcW w:w="1900" w:type="dxa"/>
            <w:tcBorders>
              <w:top w:val="none" w:sz="0" w:space="0" w:color="FFFFFF"/>
              <w:left w:val="none" w:sz="0" w:space="0" w:color="FFFFFF"/>
              <w:bottom w:val="single" w:sz="4" w:space="0" w:color="D9DEE7"/>
              <w:right w:val="none" w:sz="0" w:space="0" w:color="FFFFFF"/>
            </w:tcBorders>
            <w:tcMar>
              <w:top w:w="70" w:type="dxa"/>
              <w:left w:w="100" w:type="dxa"/>
              <w:bottom w:w="70" w:type="dxa"/>
              <w:right w:w="100" w:type="dxa"/>
            </w:tcMar>
            <w:vAlign w:val="center"/>
          </w:tcPr>
          <w:p w14:paraId="3ED63B61" w14:textId="77777777" w:rsidR="00AD3D30" w:rsidRDefault="00AD3D30" w:rsidP="00AD3D30">
            <w:pPr>
              <w:spacing w:after="0"/>
            </w:pPr>
          </w:p>
        </w:tc>
      </w:tr>
      <w:tr w:rsidR="00AD3D30" w14:paraId="1990F8B5" w14:textId="77777777" w:rsidTr="005D3AE3">
        <w:trPr>
          <w:jc w:val="center"/>
        </w:trPr>
        <w:tc>
          <w:tcPr>
            <w:tcW w:w="1900" w:type="dxa"/>
            <w:tcBorders>
              <w:top w:val="none" w:sz="0" w:space="0" w:color="FFFFFF"/>
              <w:left w:val="none" w:sz="0" w:space="0" w:color="FFFFFF"/>
              <w:bottom w:val="single" w:sz="4" w:space="0" w:color="D9DEE7"/>
              <w:right w:val="none" w:sz="0" w:space="0" w:color="FFFFFF"/>
            </w:tcBorders>
            <w:tcMar>
              <w:top w:w="70" w:type="dxa"/>
              <w:left w:w="100" w:type="dxa"/>
              <w:bottom w:w="70" w:type="dxa"/>
              <w:right w:w="100" w:type="dxa"/>
            </w:tcMar>
            <w:vAlign w:val="center"/>
          </w:tcPr>
          <w:p w14:paraId="0744B44A" w14:textId="77777777" w:rsidR="00AD3D30" w:rsidRDefault="00AD3D30" w:rsidP="00AD3D30">
            <w:pPr>
              <w:spacing w:after="0"/>
            </w:pPr>
            <w:r>
              <w:rPr>
                <w:b/>
                <w:bCs/>
                <w:color w:val="1F3864"/>
                <w:sz w:val="21"/>
                <w:szCs w:val="21"/>
              </w:rPr>
              <w:t>Student</w:t>
            </w:r>
          </w:p>
        </w:tc>
        <w:tc>
          <w:tcPr>
            <w:tcW w:w="4400" w:type="dxa"/>
            <w:tcBorders>
              <w:top w:val="none" w:sz="0" w:space="0" w:color="FFFFFF"/>
              <w:left w:val="none" w:sz="0" w:space="0" w:color="FFFFFF"/>
              <w:bottom w:val="single" w:sz="4" w:space="0" w:color="D9DEE7"/>
              <w:right w:val="none" w:sz="0" w:space="0" w:color="FFFFFF"/>
            </w:tcBorders>
            <w:tcMar>
              <w:top w:w="70" w:type="dxa"/>
              <w:left w:w="100" w:type="dxa"/>
              <w:bottom w:w="70" w:type="dxa"/>
              <w:right w:w="100" w:type="dxa"/>
            </w:tcMar>
            <w:vAlign w:val="center"/>
          </w:tcPr>
          <w:p w14:paraId="71C53001" w14:textId="77777777" w:rsidR="00AD3D30" w:rsidRDefault="00AD3D30" w:rsidP="00AD3D30">
            <w:pPr>
              <w:spacing w:after="0"/>
            </w:pPr>
            <w:r>
              <w:rPr>
                <w:color w:val="262626"/>
                <w:sz w:val="21"/>
                <w:szCs w:val="21"/>
              </w:rPr>
              <w:t>Acosta Ticona, Angela Milén</w:t>
            </w:r>
          </w:p>
        </w:tc>
        <w:tc>
          <w:tcPr>
            <w:tcW w:w="1900" w:type="dxa"/>
            <w:tcBorders>
              <w:top w:val="none" w:sz="0" w:space="0" w:color="FFFFFF"/>
              <w:left w:val="none" w:sz="0" w:space="0" w:color="FFFFFF"/>
              <w:bottom w:val="single" w:sz="4" w:space="0" w:color="D9DEE7"/>
              <w:right w:val="none" w:sz="0" w:space="0" w:color="FFFFFF"/>
            </w:tcBorders>
            <w:tcMar>
              <w:top w:w="70" w:type="dxa"/>
              <w:left w:w="100" w:type="dxa"/>
              <w:bottom w:w="70" w:type="dxa"/>
              <w:right w:w="100" w:type="dxa"/>
            </w:tcMar>
            <w:vAlign w:val="center"/>
          </w:tcPr>
          <w:p w14:paraId="34CF8E40" w14:textId="77777777" w:rsidR="00AD3D30" w:rsidRDefault="00AD3D30" w:rsidP="00AD3D30">
            <w:pPr>
              <w:spacing w:after="0"/>
              <w:jc w:val="right"/>
            </w:pPr>
            <w:r>
              <w:rPr>
                <w:color w:val="595959"/>
                <w:sz w:val="21"/>
                <w:szCs w:val="21"/>
              </w:rPr>
              <w:t>COD. 26207270</w:t>
            </w:r>
          </w:p>
        </w:tc>
      </w:tr>
    </w:tbl>
    <w:p w14:paraId="69A1E7DB" w14:textId="77777777" w:rsidR="00AD3D30" w:rsidRDefault="00AD3D30" w:rsidP="00AD3D30">
      <w:pPr>
        <w:spacing w:before="900"/>
        <w:jc w:val="center"/>
        <w:rPr>
          <w:b/>
          <w:bCs/>
          <w:color w:val="1F3864"/>
          <w:sz w:val="26"/>
          <w:szCs w:val="26"/>
        </w:rPr>
      </w:pPr>
      <w:r>
        <w:rPr>
          <w:b/>
          <w:bCs/>
          <w:color w:val="1F3864"/>
          <w:sz w:val="26"/>
          <w:szCs w:val="26"/>
        </w:rPr>
        <w:t>Lima 2026</w:t>
      </w:r>
    </w:p>
    <w:p w14:paraId="0348ADEE" w14:textId="77777777" w:rsidR="00AD3D30" w:rsidRDefault="00AD3D30" w:rsidP="00AD3D30">
      <w:pPr>
        <w:spacing w:before="900"/>
        <w:jc w:val="center"/>
        <w:rPr>
          <w:b/>
          <w:bCs/>
          <w:color w:val="1F3864"/>
          <w:sz w:val="26"/>
          <w:szCs w:val="26"/>
        </w:rPr>
      </w:pPr>
    </w:p>
    <w:p w14:paraId="68C1D9D6" w14:textId="77777777" w:rsidR="005D1369" w:rsidRPr="00AD3D30" w:rsidRDefault="00000000" w:rsidP="00AD3D30">
      <w:pPr>
        <w:pStyle w:val="Textoindependiente"/>
        <w:jc w:val="both"/>
        <w:rPr>
          <w:rFonts w:ascii="Arial" w:hAnsi="Arial" w:cs="Arial"/>
          <w:color w:val="000000" w:themeColor="text1"/>
          <w:sz w:val="20"/>
          <w:szCs w:val="20"/>
        </w:rPr>
      </w:pPr>
      <w:r>
        <w:rPr>
          <w:rFonts w:ascii="Arial" w:hAnsi="Arial" w:cs="Arial"/>
          <w:b/>
          <w:color w:val="000000" w:themeColor="text1"/>
          <w:sz w:val="20"/>
          <w:szCs w:val="20"/>
        </w:rPr>
        <w:t xml:space="preserve">Thesis title (EN). </w:t>
      </w:r>
      <w:r>
        <w:rPr>
          <w:rFonts w:ascii="Arial" w:hAnsi="Arial" w:cs="Arial"/>
          <w:color w:val="000000" w:themeColor="text1"/>
          <w:sz w:val="20"/>
          <w:szCs w:val="20"/>
        </w:rPr>
        <w:t>Sustainable Import Patterns of Tissue Parent Rolls in Peru (2020–2025): A Machine Learning Analysis of Customs Import Records.</w:t>
      </w:r>
    </w:p>
    <w:p w14:paraId="6FCEC2E7" w14:textId="77777777" w:rsidR="005D1369" w:rsidRPr="00AD3D30" w:rsidRDefault="00000000" w:rsidP="00AD3D30">
      <w:pPr>
        <w:pStyle w:val="Textoindependiente"/>
        <w:jc w:val="both"/>
        <w:rPr>
          <w:rFonts w:ascii="Arial" w:hAnsi="Arial" w:cs="Arial"/>
          <w:color w:val="000000" w:themeColor="text1"/>
          <w:sz w:val="20"/>
          <w:szCs w:val="20"/>
          <w:lang w:val="es-PE"/>
        </w:rPr>
      </w:pPr>
      <w:r>
        <w:rPr>
          <w:rFonts w:ascii="Arial" w:hAnsi="Arial" w:cs="Arial"/>
          <w:b/>
          <w:color w:val="000000" w:themeColor="text1"/>
          <w:sz w:val="20"/>
          <w:szCs w:val="20"/>
          <w:lang w:val="es-PE"/>
        </w:rPr>
        <w:t xml:space="preserve">Título (ES). </w:t>
      </w:r>
      <w:r>
        <w:rPr>
          <w:rFonts w:ascii="Arial" w:hAnsi="Arial" w:cs="Arial"/>
          <w:color w:val="000000" w:themeColor="text1"/>
          <w:sz w:val="20"/>
          <w:szCs w:val="20"/>
          <w:lang w:val="es-PE"/>
        </w:rPr>
        <w:t>Patrones de importación sostenible de bobinas de papel tissue en el Perú (2020–2025): un análisis con aprendizaje automático de registros aduaneros de importación.</w:t>
      </w:r>
    </w:p>
    <w:p w14:paraId="6A1801CA" w14:textId="77777777" w:rsidR="005D1369" w:rsidRPr="00AD3D30" w:rsidRDefault="00000000" w:rsidP="00AD3D30">
      <w:pPr>
        <w:pStyle w:val="Textoindependiente"/>
        <w:jc w:val="both"/>
        <w:rPr>
          <w:rFonts w:ascii="Arial" w:hAnsi="Arial" w:cs="Arial"/>
          <w:color w:val="000000" w:themeColor="text1"/>
          <w:sz w:val="20"/>
          <w:szCs w:val="20"/>
        </w:rPr>
      </w:pPr>
      <w:r>
        <w:rPr>
          <w:rFonts w:ascii="Arial" w:hAnsi="Arial" w:cs="Arial"/>
          <w:b/>
          <w:color w:val="000000" w:themeColor="text1"/>
          <w:sz w:val="20"/>
          <w:szCs w:val="20"/>
        </w:rPr>
        <w:t xml:space="preserve">Central research question. </w:t>
      </w:r>
      <w:r>
        <w:rPr>
          <w:rFonts w:ascii="Arial" w:hAnsi="Arial" w:cs="Arial"/>
          <w:color w:val="000000" w:themeColor="text1"/>
          <w:sz w:val="20"/>
          <w:szCs w:val="20"/>
        </w:rPr>
        <w:t>Which sustainable import patterns characterize Peru's imports of tissue parent rolls for local conversion between 2020 and 2025, and which customs variables predict proxy-indicated sustainable imports? (Positivist paradigm; revised after the midterm feedback.)</w:t>
      </w:r>
    </w:p>
    <w:p w14:paraId="3609958C" w14:textId="77777777" w:rsidR="005D1369" w:rsidRPr="00AD3D30" w:rsidRDefault="00000000" w:rsidP="00AD3D30">
      <w:pPr>
        <w:pStyle w:val="Textoindependiente"/>
        <w:jc w:val="both"/>
        <w:rPr>
          <w:rFonts w:ascii="Arial" w:hAnsi="Arial" w:cs="Arial"/>
          <w:color w:val="000000" w:themeColor="text1"/>
          <w:sz w:val="20"/>
          <w:szCs w:val="20"/>
        </w:rPr>
      </w:pPr>
      <w:r w:rsidRPr="00AD3D30">
        <w:rPr>
          <w:rFonts w:ascii="Arial" w:hAnsi="Arial" w:cs="Arial"/>
          <w:b/>
          <w:bCs/>
          <w:color w:val="000000" w:themeColor="text1"/>
          <w:sz w:val="20"/>
          <w:szCs w:val="20"/>
        </w:rPr>
        <w:t>Result in one line.</w:t>
      </w:r>
      <w:r w:rsidRPr="00AD3D30">
        <w:rPr>
          <w:rFonts w:ascii="Arial" w:hAnsi="Arial" w:cs="Arial"/>
          <w:color w:val="000000" w:themeColor="text1"/>
          <w:sz w:val="20"/>
          <w:szCs w:val="20"/>
        </w:rPr>
        <w:t xml:space="preserve"> A documented Boolean search across two databases identified 266 records; after de-duplication and two screening stages, 10 studies were included. None of them </w:t>
      </w:r>
      <w:proofErr w:type="gramStart"/>
      <w:r w:rsidRPr="00AD3D30">
        <w:rPr>
          <w:rFonts w:ascii="Arial" w:hAnsi="Arial" w:cs="Arial"/>
          <w:color w:val="000000" w:themeColor="text1"/>
          <w:sz w:val="20"/>
          <w:szCs w:val="20"/>
        </w:rPr>
        <w:t>uses</w:t>
      </w:r>
      <w:proofErr w:type="gramEnd"/>
      <w:r w:rsidRPr="00AD3D30">
        <w:rPr>
          <w:rFonts w:ascii="Arial" w:hAnsi="Arial" w:cs="Arial"/>
          <w:color w:val="000000" w:themeColor="text1"/>
          <w:sz w:val="20"/>
          <w:szCs w:val="20"/>
        </w:rPr>
        <w:t xml:space="preserve"> customs transaction data, none studies an importing country, and none </w:t>
      </w:r>
      <w:proofErr w:type="gramStart"/>
      <w:r w:rsidRPr="00AD3D30">
        <w:rPr>
          <w:rFonts w:ascii="Arial" w:hAnsi="Arial" w:cs="Arial"/>
          <w:color w:val="000000" w:themeColor="text1"/>
          <w:sz w:val="20"/>
          <w:szCs w:val="20"/>
        </w:rPr>
        <w:t>is located in</w:t>
      </w:r>
      <w:proofErr w:type="gramEnd"/>
      <w:r w:rsidRPr="00AD3D30">
        <w:rPr>
          <w:rFonts w:ascii="Arial" w:hAnsi="Arial" w:cs="Arial"/>
          <w:color w:val="000000" w:themeColor="text1"/>
          <w:sz w:val="20"/>
          <w:szCs w:val="20"/>
        </w:rPr>
        <w:t xml:space="preserve"> Latin America: these absences define the gaps this thesis addresses.</w:t>
      </w:r>
    </w:p>
    <w:p w14:paraId="28BAFCAB" w14:textId="77777777" w:rsidR="005D1369" w:rsidRPr="00AD3D30" w:rsidRDefault="00000000" w:rsidP="00AD3D30">
      <w:pPr>
        <w:pStyle w:val="Ttulo2"/>
        <w:rPr>
          <w:rFonts w:ascii="Arial" w:hAnsi="Arial" w:cs="Arial"/>
          <w:color w:val="000000" w:themeColor="text1"/>
          <w:sz w:val="20"/>
          <w:szCs w:val="20"/>
          <w:u w:val="single"/>
        </w:rPr>
      </w:pPr>
      <w:bookmarkStart w:id="1" w:name="Xe1dee42dc464f1f92a38bba1102fb08499c7104"/>
      <w:r w:rsidRPr="00AD3D30">
        <w:rPr>
          <w:rFonts w:ascii="Arial" w:hAnsi="Arial" w:cs="Arial"/>
          <w:color w:val="000000" w:themeColor="text1"/>
          <w:sz w:val="20"/>
          <w:szCs w:val="20"/>
          <w:u w:val="single"/>
        </w:rPr>
        <w:t>Component 1 — Search documentation, eligibility criteria and the 10 key articles</w:t>
      </w:r>
    </w:p>
    <w:p w14:paraId="287BF9AC" w14:textId="77777777" w:rsidR="005D1369" w:rsidRPr="00AD3D30" w:rsidRDefault="00000000" w:rsidP="00AD3D30">
      <w:pPr>
        <w:pStyle w:val="FirstParagraph"/>
        <w:jc w:val="both"/>
        <w:rPr>
          <w:rFonts w:ascii="Arial" w:hAnsi="Arial" w:cs="Arial"/>
          <w:color w:val="000000" w:themeColor="text1"/>
          <w:sz w:val="20"/>
          <w:szCs w:val="20"/>
        </w:rPr>
      </w:pPr>
      <w:r w:rsidRPr="00AD3D30">
        <w:rPr>
          <w:rFonts w:ascii="Arial" w:hAnsi="Arial" w:cs="Arial"/>
          <w:color w:val="000000" w:themeColor="text1"/>
          <w:sz w:val="20"/>
          <w:szCs w:val="20"/>
        </w:rPr>
        <w:t xml:space="preserve">One Boolean string, built from three concept blocks, was run in Semantic Scholar and Scopus in September 2026 and </w:t>
      </w:r>
      <w:proofErr w:type="gramStart"/>
      <w:r w:rsidRPr="00AD3D30">
        <w:rPr>
          <w:rFonts w:ascii="Arial" w:hAnsi="Arial" w:cs="Arial"/>
          <w:color w:val="000000" w:themeColor="text1"/>
          <w:sz w:val="20"/>
          <w:szCs w:val="20"/>
        </w:rPr>
        <w:t>returned</w:t>
      </w:r>
      <w:proofErr w:type="gramEnd"/>
      <w:r w:rsidRPr="00AD3D30">
        <w:rPr>
          <w:rFonts w:ascii="Arial" w:hAnsi="Arial" w:cs="Arial"/>
          <w:color w:val="000000" w:themeColor="text1"/>
          <w:sz w:val="20"/>
          <w:szCs w:val="20"/>
        </w:rPr>
        <w:t xml:space="preserve"> 266 records. The three blocks mirror the three literature streams defined in the Research Protocol (Deliverable N° 3, Section 04).</w:t>
      </w:r>
    </w:p>
    <w:p w14:paraId="37261540" w14:textId="77777777" w:rsidR="005D1369" w:rsidRPr="00AD3D30" w:rsidRDefault="00000000" w:rsidP="00AD3D30">
      <w:pPr>
        <w:pStyle w:val="Ttulo3"/>
        <w:rPr>
          <w:rFonts w:ascii="Arial" w:hAnsi="Arial" w:cs="Arial"/>
          <w:color w:val="000000" w:themeColor="text1"/>
          <w:sz w:val="20"/>
          <w:szCs w:val="20"/>
        </w:rPr>
      </w:pPr>
      <w:bookmarkStart w:id="2" w:name="concept-blocks"/>
      <w:r w:rsidRPr="00AD3D30">
        <w:rPr>
          <w:rFonts w:ascii="Arial" w:hAnsi="Arial" w:cs="Arial"/>
          <w:color w:val="000000" w:themeColor="text1"/>
          <w:sz w:val="20"/>
          <w:szCs w:val="20"/>
        </w:rPr>
        <w:t>1.1 Concept blocks</w:t>
      </w:r>
    </w:p>
    <w:p w14:paraId="4B0A02F4" w14:textId="6545A1F4" w:rsidR="005D1369" w:rsidRPr="00AD3D30" w:rsidRDefault="00000000" w:rsidP="00AD3D30">
      <w:pPr>
        <w:pStyle w:val="FirstParagraph"/>
        <w:rPr>
          <w:rFonts w:ascii="Arial" w:hAnsi="Arial" w:cs="Arial"/>
          <w:color w:val="000000" w:themeColor="text1"/>
          <w:sz w:val="20"/>
          <w:szCs w:val="20"/>
        </w:rPr>
      </w:pPr>
      <w:r w:rsidRPr="00AD3D30">
        <w:rPr>
          <w:rFonts w:ascii="Arial" w:hAnsi="Arial" w:cs="Arial"/>
          <w:b/>
          <w:bCs/>
          <w:color w:val="000000" w:themeColor="text1"/>
          <w:sz w:val="20"/>
          <w:szCs w:val="20"/>
        </w:rPr>
        <w:t>Table 1.1</w:t>
      </w:r>
    </w:p>
    <w:tbl>
      <w:tblPr>
        <w:tblStyle w:val="Table"/>
        <w:tblW w:w="5000" w:type="pct"/>
        <w:tblLook w:val="0020" w:firstRow="1" w:lastRow="0" w:firstColumn="0" w:lastColumn="0" w:noHBand="0" w:noVBand="0"/>
      </w:tblPr>
      <w:tblGrid>
        <w:gridCol w:w="706"/>
        <w:gridCol w:w="2214"/>
        <w:gridCol w:w="3922"/>
        <w:gridCol w:w="2212"/>
      </w:tblGrid>
      <w:tr w:rsidR="005D1369" w:rsidRPr="00AD3D30" w14:paraId="3CE8CD32" w14:textId="77777777" w:rsidTr="005D1369">
        <w:trPr>
          <w:cnfStyle w:val="100000000000" w:firstRow="1" w:lastRow="0" w:firstColumn="0" w:lastColumn="0" w:oddVBand="0" w:evenVBand="0" w:oddHBand="0" w:evenHBand="0" w:firstRowFirstColumn="0" w:firstRowLastColumn="0" w:lastRowFirstColumn="0" w:lastRowLastColumn="0"/>
          <w:tblHeader/>
        </w:trPr>
        <w:tc>
          <w:tcPr>
            <w:tcW w:w="0" w:type="auto"/>
          </w:tcPr>
          <w:p w14:paraId="5A202826"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Block</w:t>
            </w:r>
          </w:p>
        </w:tc>
        <w:tc>
          <w:tcPr>
            <w:tcW w:w="0" w:type="auto"/>
          </w:tcPr>
          <w:p w14:paraId="1EB12E05"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Concept</w:t>
            </w:r>
          </w:p>
        </w:tc>
        <w:tc>
          <w:tcPr>
            <w:tcW w:w="0" w:type="auto"/>
          </w:tcPr>
          <w:p w14:paraId="0E3F4518"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Terms (joined with OR)</w:t>
            </w:r>
          </w:p>
        </w:tc>
        <w:tc>
          <w:tcPr>
            <w:tcW w:w="0" w:type="auto"/>
          </w:tcPr>
          <w:p w14:paraId="2C4A63F1"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Protocol stream</w:t>
            </w:r>
          </w:p>
        </w:tc>
      </w:tr>
      <w:tr w:rsidR="005D1369" w:rsidRPr="00AD3D30" w14:paraId="73145007" w14:textId="77777777">
        <w:tc>
          <w:tcPr>
            <w:tcW w:w="0" w:type="auto"/>
          </w:tcPr>
          <w:p w14:paraId="4A14DD4B"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w:t>
            </w:r>
          </w:p>
        </w:tc>
        <w:tc>
          <w:tcPr>
            <w:tcW w:w="0" w:type="auto"/>
          </w:tcPr>
          <w:p w14:paraId="1D7A4FD4"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Analytical technique</w:t>
            </w:r>
          </w:p>
        </w:tc>
        <w:tc>
          <w:tcPr>
            <w:tcW w:w="0" w:type="auto"/>
          </w:tcPr>
          <w:p w14:paraId="785539BA"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w:t>
            </w:r>
            <w:proofErr w:type="gramStart"/>
            <w:r w:rsidRPr="00AD3D30">
              <w:rPr>
                <w:rFonts w:ascii="Arial" w:hAnsi="Arial" w:cs="Arial"/>
                <w:color w:val="000000" w:themeColor="text1"/>
                <w:sz w:val="20"/>
                <w:szCs w:val="20"/>
              </w:rPr>
              <w:t>machine</w:t>
            </w:r>
            <w:proofErr w:type="gramEnd"/>
            <w:r w:rsidRPr="00AD3D30">
              <w:rPr>
                <w:rFonts w:ascii="Arial" w:hAnsi="Arial" w:cs="Arial"/>
                <w:color w:val="000000" w:themeColor="text1"/>
                <w:sz w:val="20"/>
                <w:szCs w:val="20"/>
              </w:rPr>
              <w:t xml:space="preserve"> learning”, “artificial intelligence”, “clustering”, “XGBoost”</w:t>
            </w:r>
          </w:p>
        </w:tc>
        <w:tc>
          <w:tcPr>
            <w:tcW w:w="0" w:type="auto"/>
          </w:tcPr>
          <w:p w14:paraId="789479DF"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1 — ML in trade and customs</w:t>
            </w:r>
          </w:p>
        </w:tc>
      </w:tr>
      <w:tr w:rsidR="005D1369" w:rsidRPr="00AD3D30" w14:paraId="1C2E8999" w14:textId="77777777">
        <w:tc>
          <w:tcPr>
            <w:tcW w:w="0" w:type="auto"/>
          </w:tcPr>
          <w:p w14:paraId="6D4F0BA9"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B</w:t>
            </w:r>
          </w:p>
        </w:tc>
        <w:tc>
          <w:tcPr>
            <w:tcW w:w="0" w:type="auto"/>
          </w:tcPr>
          <w:p w14:paraId="0C7F3AA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Trade and supply-chain domain</w:t>
            </w:r>
          </w:p>
        </w:tc>
        <w:tc>
          <w:tcPr>
            <w:tcW w:w="0" w:type="auto"/>
          </w:tcPr>
          <w:p w14:paraId="07F8B2B8"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“customs data”, “international trade”, “sustainable supply chain”, “green procurement”</w:t>
            </w:r>
          </w:p>
        </w:tc>
        <w:tc>
          <w:tcPr>
            <w:tcW w:w="0" w:type="auto"/>
          </w:tcPr>
          <w:p w14:paraId="6AECDEDC"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 — AI for sustainable supply chains</w:t>
            </w:r>
          </w:p>
        </w:tc>
      </w:tr>
      <w:tr w:rsidR="005D1369" w:rsidRPr="00AD3D30" w14:paraId="5393F381" w14:textId="77777777">
        <w:tc>
          <w:tcPr>
            <w:tcW w:w="0" w:type="auto"/>
          </w:tcPr>
          <w:p w14:paraId="406166CF"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w:t>
            </w:r>
          </w:p>
        </w:tc>
        <w:tc>
          <w:tcPr>
            <w:tcW w:w="0" w:type="auto"/>
          </w:tcPr>
          <w:p w14:paraId="73B1DDD3"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Sector and sustainability assessment</w:t>
            </w:r>
          </w:p>
        </w:tc>
        <w:tc>
          <w:tcPr>
            <w:tcW w:w="0" w:type="auto"/>
          </w:tcPr>
          <w:p w14:paraId="0997E49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w:t>
            </w:r>
            <w:proofErr w:type="gramStart"/>
            <w:r w:rsidRPr="00AD3D30">
              <w:rPr>
                <w:rFonts w:ascii="Arial" w:hAnsi="Arial" w:cs="Arial"/>
                <w:color w:val="000000" w:themeColor="text1"/>
                <w:sz w:val="20"/>
                <w:szCs w:val="20"/>
              </w:rPr>
              <w:t>paper</w:t>
            </w:r>
            <w:proofErr w:type="gramEnd"/>
            <w:r w:rsidRPr="00AD3D30">
              <w:rPr>
                <w:rFonts w:ascii="Arial" w:hAnsi="Arial" w:cs="Arial"/>
                <w:color w:val="000000" w:themeColor="text1"/>
                <w:sz w:val="20"/>
                <w:szCs w:val="20"/>
              </w:rPr>
              <w:t xml:space="preserve"> industry”, “pulp and paper”, “tissue paper”, “life cycle assessment”</w:t>
            </w:r>
          </w:p>
        </w:tc>
        <w:tc>
          <w:tcPr>
            <w:tcW w:w="0" w:type="auto"/>
          </w:tcPr>
          <w:p w14:paraId="232813FF"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3 — Sustainability of paper products</w:t>
            </w:r>
          </w:p>
        </w:tc>
      </w:tr>
    </w:tbl>
    <w:p w14:paraId="64290175" w14:textId="7DCB1BBA" w:rsidR="005D1369" w:rsidRPr="00AD3D30" w:rsidRDefault="00000000" w:rsidP="00AD3D30">
      <w:pPr>
        <w:pStyle w:val="Textoindependiente"/>
        <w:rPr>
          <w:rFonts w:ascii="Arial" w:hAnsi="Arial" w:cs="Arial"/>
          <w:color w:val="000000" w:themeColor="text1"/>
          <w:sz w:val="20"/>
          <w:szCs w:val="20"/>
        </w:rPr>
      </w:pPr>
      <w:r w:rsidRPr="00AD3D30">
        <w:rPr>
          <w:rFonts w:ascii="Arial" w:hAnsi="Arial" w:cs="Arial"/>
          <w:color w:val="000000" w:themeColor="text1"/>
          <w:sz w:val="20"/>
          <w:szCs w:val="20"/>
        </w:rPr>
        <w:t>Blocks are joined with AND, so a record must touch a technique, a domain and a sector or assessment method at the same time.</w:t>
      </w:r>
    </w:p>
    <w:p w14:paraId="1429C63D" w14:textId="77777777" w:rsidR="005D1369" w:rsidRPr="00AD3D30" w:rsidRDefault="00000000" w:rsidP="00AD3D30">
      <w:pPr>
        <w:pStyle w:val="Ttulo3"/>
        <w:rPr>
          <w:rFonts w:ascii="Arial" w:hAnsi="Arial" w:cs="Arial"/>
          <w:color w:val="000000" w:themeColor="text1"/>
          <w:sz w:val="20"/>
          <w:szCs w:val="20"/>
        </w:rPr>
      </w:pPr>
      <w:bookmarkStart w:id="3" w:name="search-strings-as-executed"/>
      <w:bookmarkEnd w:id="2"/>
      <w:r w:rsidRPr="00AD3D30">
        <w:rPr>
          <w:rFonts w:ascii="Arial" w:hAnsi="Arial" w:cs="Arial"/>
          <w:color w:val="000000" w:themeColor="text1"/>
          <w:sz w:val="20"/>
          <w:szCs w:val="20"/>
        </w:rPr>
        <w:t>1.2 Search strings as executed</w:t>
      </w:r>
    </w:p>
    <w:p w14:paraId="21A6D8BF" w14:textId="77777777" w:rsidR="005D1369" w:rsidRPr="00AD3D30" w:rsidRDefault="00000000" w:rsidP="00AD3D30">
      <w:pPr>
        <w:pStyle w:val="FirstParagraph"/>
        <w:jc w:val="both"/>
        <w:rPr>
          <w:rFonts w:ascii="Arial" w:hAnsi="Arial" w:cs="Arial"/>
          <w:color w:val="000000" w:themeColor="text1"/>
          <w:sz w:val="20"/>
          <w:szCs w:val="20"/>
        </w:rPr>
      </w:pPr>
      <w:r w:rsidRPr="00AD3D30">
        <w:rPr>
          <w:rFonts w:ascii="Arial" w:hAnsi="Arial" w:cs="Arial"/>
          <w:b/>
          <w:bCs/>
          <w:color w:val="000000" w:themeColor="text1"/>
          <w:sz w:val="20"/>
          <w:szCs w:val="20"/>
        </w:rPr>
        <w:t>Semantic Scholar (generic string).</w:t>
      </w:r>
    </w:p>
    <w:p w14:paraId="18D5CEE9" w14:textId="77777777" w:rsidR="005D1369" w:rsidRPr="00AD3D30" w:rsidRDefault="00000000" w:rsidP="00AD3D30">
      <w:pPr>
        <w:pStyle w:val="SourceCode"/>
        <w:jc w:val="both"/>
        <w:rPr>
          <w:rFonts w:ascii="Arial" w:hAnsi="Arial" w:cs="Arial"/>
          <w:color w:val="000000" w:themeColor="text1"/>
          <w:sz w:val="20"/>
          <w:szCs w:val="20"/>
        </w:rPr>
      </w:pPr>
      <w:r w:rsidRPr="00AD3D30">
        <w:rPr>
          <w:rStyle w:val="VerbatimChar"/>
          <w:rFonts w:ascii="Arial" w:hAnsi="Arial" w:cs="Arial"/>
          <w:color w:val="000000" w:themeColor="text1"/>
          <w:sz w:val="20"/>
          <w:szCs w:val="20"/>
        </w:rPr>
        <w:t>("machine learning" OR "artificial intelligence" OR "clustering" OR "XGBoost")</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AND ("customs data" OR "international trade" OR "sustainable supply chain" OR "green procurement")</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AND ("paper industry" OR "pulp and paper" OR "tissue paper" OR "life cycle assessment")</w:t>
      </w:r>
    </w:p>
    <w:p w14:paraId="5D6F8AF9" w14:textId="77777777" w:rsidR="005D1369" w:rsidRPr="00AD3D30" w:rsidRDefault="00000000" w:rsidP="00AD3D30">
      <w:pPr>
        <w:pStyle w:val="FirstParagraph"/>
        <w:jc w:val="both"/>
        <w:rPr>
          <w:rFonts w:ascii="Arial" w:hAnsi="Arial" w:cs="Arial"/>
          <w:color w:val="000000" w:themeColor="text1"/>
          <w:sz w:val="20"/>
          <w:szCs w:val="20"/>
        </w:rPr>
      </w:pPr>
      <w:r w:rsidRPr="00AD3D30">
        <w:rPr>
          <w:rFonts w:ascii="Arial" w:hAnsi="Arial" w:cs="Arial"/>
          <w:b/>
          <w:bCs/>
          <w:color w:val="000000" w:themeColor="text1"/>
          <w:sz w:val="20"/>
          <w:szCs w:val="20"/>
        </w:rPr>
        <w:t>Scopus (field-coded string).</w:t>
      </w:r>
    </w:p>
    <w:p w14:paraId="1B33537E" w14:textId="77777777" w:rsidR="005D1369" w:rsidRPr="00AD3D30" w:rsidRDefault="00000000" w:rsidP="00AD3D30">
      <w:pPr>
        <w:pStyle w:val="SourceCode"/>
        <w:jc w:val="both"/>
        <w:rPr>
          <w:rFonts w:ascii="Arial" w:hAnsi="Arial" w:cs="Arial"/>
          <w:color w:val="000000" w:themeColor="text1"/>
          <w:sz w:val="20"/>
          <w:szCs w:val="20"/>
        </w:rPr>
      </w:pPr>
      <w:r w:rsidRPr="00AD3D30">
        <w:rPr>
          <w:rStyle w:val="VerbatimChar"/>
          <w:rFonts w:ascii="Arial" w:hAnsi="Arial" w:cs="Arial"/>
          <w:color w:val="000000" w:themeColor="text1"/>
          <w:sz w:val="20"/>
          <w:szCs w:val="20"/>
        </w:rPr>
        <w:t>TITLE-ABS-</w:t>
      </w:r>
      <w:proofErr w:type="gramStart"/>
      <w:r w:rsidRPr="00AD3D30">
        <w:rPr>
          <w:rStyle w:val="VerbatimChar"/>
          <w:rFonts w:ascii="Arial" w:hAnsi="Arial" w:cs="Arial"/>
          <w:color w:val="000000" w:themeColor="text1"/>
          <w:sz w:val="20"/>
          <w:szCs w:val="20"/>
        </w:rPr>
        <w:t>KEY( (</w:t>
      </w:r>
      <w:proofErr w:type="gramEnd"/>
      <w:r w:rsidRPr="00AD3D30">
        <w:rPr>
          <w:rStyle w:val="VerbatimChar"/>
          <w:rFonts w:ascii="Arial" w:hAnsi="Arial" w:cs="Arial"/>
          <w:color w:val="000000" w:themeColor="text1"/>
          <w:sz w:val="20"/>
          <w:szCs w:val="20"/>
        </w:rPr>
        <w:t>"machine learning" OR "artificial intelligence" OR "clustering" OR "XGBoost") AND ("customs data" OR "international trade" OR "sustainable supply chain" OR "green procurement") AND ("paper industry" OR "pulp and paper" OR "tissue paper" OR "life cycle assessment"</w:t>
      </w:r>
      <w:proofErr w:type="gramStart"/>
      <w:r w:rsidRPr="00AD3D30">
        <w:rPr>
          <w:rStyle w:val="VerbatimChar"/>
          <w:rFonts w:ascii="Arial" w:hAnsi="Arial" w:cs="Arial"/>
          <w:color w:val="000000" w:themeColor="text1"/>
          <w:sz w:val="20"/>
          <w:szCs w:val="20"/>
        </w:rPr>
        <w:t>) )</w:t>
      </w:r>
      <w:proofErr w:type="gramEnd"/>
    </w:p>
    <w:p w14:paraId="277D79E9" w14:textId="77777777" w:rsidR="00AD3D30" w:rsidRDefault="00AD3D30" w:rsidP="00AD3D30">
      <w:pPr>
        <w:pStyle w:val="FirstParagraph"/>
        <w:rPr>
          <w:rFonts w:ascii="Arial" w:hAnsi="Arial" w:cs="Arial"/>
          <w:b/>
          <w:bCs/>
          <w:color w:val="000000" w:themeColor="text1"/>
          <w:sz w:val="20"/>
          <w:szCs w:val="20"/>
        </w:rPr>
      </w:pPr>
    </w:p>
    <w:p w14:paraId="1B16C4DE" w14:textId="13BAAA34" w:rsidR="005D1369" w:rsidRPr="00AD3D30" w:rsidRDefault="00AD3D30" w:rsidP="00AD3D30">
      <w:pPr>
        <w:pStyle w:val="FirstParagraph"/>
        <w:rPr>
          <w:rFonts w:ascii="Arial" w:hAnsi="Arial" w:cs="Arial"/>
          <w:color w:val="000000" w:themeColor="text1"/>
          <w:sz w:val="20"/>
          <w:szCs w:val="20"/>
        </w:rPr>
      </w:pPr>
      <w:r>
        <w:rPr>
          <w:rFonts w:ascii="Arial" w:hAnsi="Arial" w:cs="Arial"/>
          <w:b/>
          <w:bCs/>
          <w:color w:val="000000" w:themeColor="text1"/>
          <w:sz w:val="20"/>
          <w:szCs w:val="20"/>
        </w:rPr>
        <w:t>T</w:t>
      </w:r>
      <w:r w:rsidR="00000000" w:rsidRPr="00AD3D30">
        <w:rPr>
          <w:rFonts w:ascii="Arial" w:hAnsi="Arial" w:cs="Arial"/>
          <w:b/>
          <w:bCs/>
          <w:color w:val="000000" w:themeColor="text1"/>
          <w:sz w:val="20"/>
          <w:szCs w:val="20"/>
        </w:rPr>
        <w:t>able 1.2</w:t>
      </w:r>
    </w:p>
    <w:tbl>
      <w:tblPr>
        <w:tblStyle w:val="Table"/>
        <w:tblW w:w="0" w:type="auto"/>
        <w:tblLook w:val="0020" w:firstRow="1" w:lastRow="0" w:firstColumn="0" w:lastColumn="0" w:noHBand="0" w:noVBand="0"/>
      </w:tblPr>
      <w:tblGrid>
        <w:gridCol w:w="2083"/>
        <w:gridCol w:w="2607"/>
        <w:gridCol w:w="1750"/>
        <w:gridCol w:w="961"/>
      </w:tblGrid>
      <w:tr w:rsidR="005D1369" w:rsidRPr="00AD3D30" w14:paraId="5D174A7E" w14:textId="77777777" w:rsidTr="005D1369">
        <w:trPr>
          <w:cnfStyle w:val="100000000000" w:firstRow="1" w:lastRow="0" w:firstColumn="0" w:lastColumn="0" w:oddVBand="0" w:evenVBand="0" w:oddHBand="0" w:evenHBand="0" w:firstRowFirstColumn="0" w:firstRowLastColumn="0" w:lastRowFirstColumn="0" w:lastRowLastColumn="0"/>
          <w:tblHeader/>
        </w:trPr>
        <w:tc>
          <w:tcPr>
            <w:tcW w:w="0" w:type="auto"/>
          </w:tcPr>
          <w:p w14:paraId="538B460C"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Database</w:t>
            </w:r>
          </w:p>
        </w:tc>
        <w:tc>
          <w:tcPr>
            <w:tcW w:w="0" w:type="auto"/>
          </w:tcPr>
          <w:p w14:paraId="210B2C8D"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Fields searched</w:t>
            </w:r>
          </w:p>
        </w:tc>
        <w:tc>
          <w:tcPr>
            <w:tcW w:w="0" w:type="auto"/>
          </w:tcPr>
          <w:p w14:paraId="44B8F02B"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Filters at retrieval</w:t>
            </w:r>
          </w:p>
        </w:tc>
        <w:tc>
          <w:tcPr>
            <w:tcW w:w="0" w:type="auto"/>
          </w:tcPr>
          <w:p w14:paraId="05E27E63"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Records</w:t>
            </w:r>
          </w:p>
        </w:tc>
      </w:tr>
      <w:tr w:rsidR="005D1369" w:rsidRPr="00AD3D30" w14:paraId="2FB83CCB" w14:textId="77777777">
        <w:tc>
          <w:tcPr>
            <w:tcW w:w="0" w:type="auto"/>
          </w:tcPr>
          <w:p w14:paraId="6191BC42"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Semantic Scholar</w:t>
            </w:r>
          </w:p>
        </w:tc>
        <w:tc>
          <w:tcPr>
            <w:tcW w:w="0" w:type="auto"/>
          </w:tcPr>
          <w:p w14:paraId="2EF00CD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Title, abstract, indexed text</w:t>
            </w:r>
          </w:p>
        </w:tc>
        <w:tc>
          <w:tcPr>
            <w:tcW w:w="0" w:type="auto"/>
          </w:tcPr>
          <w:p w14:paraId="4A28636D"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None</w:t>
            </w:r>
          </w:p>
        </w:tc>
        <w:tc>
          <w:tcPr>
            <w:tcW w:w="0" w:type="auto"/>
          </w:tcPr>
          <w:p w14:paraId="0A7B1A9A"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250</w:t>
            </w:r>
          </w:p>
        </w:tc>
      </w:tr>
      <w:tr w:rsidR="005D1369" w:rsidRPr="00AD3D30" w14:paraId="027630C8" w14:textId="77777777">
        <w:tc>
          <w:tcPr>
            <w:tcW w:w="0" w:type="auto"/>
          </w:tcPr>
          <w:p w14:paraId="4A011016"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Scopus</w:t>
            </w:r>
          </w:p>
        </w:tc>
        <w:tc>
          <w:tcPr>
            <w:tcW w:w="0" w:type="auto"/>
          </w:tcPr>
          <w:p w14:paraId="25D2FBC1"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TITLE-ABS-KEY</w:t>
            </w:r>
          </w:p>
        </w:tc>
        <w:tc>
          <w:tcPr>
            <w:tcW w:w="0" w:type="auto"/>
          </w:tcPr>
          <w:p w14:paraId="2A10D3D6"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None</w:t>
            </w:r>
          </w:p>
        </w:tc>
        <w:tc>
          <w:tcPr>
            <w:tcW w:w="0" w:type="auto"/>
          </w:tcPr>
          <w:p w14:paraId="629B7F79"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16</w:t>
            </w:r>
          </w:p>
        </w:tc>
      </w:tr>
      <w:tr w:rsidR="005D1369" w:rsidRPr="00AD3D30" w14:paraId="2E821CA8" w14:textId="77777777">
        <w:tc>
          <w:tcPr>
            <w:tcW w:w="0" w:type="auto"/>
          </w:tcPr>
          <w:p w14:paraId="0B3A2ABF"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b/>
                <w:bCs/>
                <w:color w:val="000000" w:themeColor="text1"/>
                <w:sz w:val="20"/>
                <w:szCs w:val="20"/>
              </w:rPr>
              <w:lastRenderedPageBreak/>
              <w:t>Total identified (N1)</w:t>
            </w:r>
          </w:p>
        </w:tc>
        <w:tc>
          <w:tcPr>
            <w:tcW w:w="0" w:type="auto"/>
          </w:tcPr>
          <w:p w14:paraId="51869CCE" w14:textId="77777777" w:rsidR="005D1369" w:rsidRPr="00AD3D30" w:rsidRDefault="005D1369" w:rsidP="00AD3D30">
            <w:pPr>
              <w:pStyle w:val="Compact"/>
              <w:rPr>
                <w:rFonts w:ascii="Arial" w:hAnsi="Arial" w:cs="Arial"/>
                <w:color w:val="000000" w:themeColor="text1"/>
                <w:sz w:val="20"/>
                <w:szCs w:val="20"/>
              </w:rPr>
            </w:pPr>
          </w:p>
        </w:tc>
        <w:tc>
          <w:tcPr>
            <w:tcW w:w="0" w:type="auto"/>
          </w:tcPr>
          <w:p w14:paraId="343A7D3E" w14:textId="77777777" w:rsidR="005D1369" w:rsidRPr="00AD3D30" w:rsidRDefault="005D1369" w:rsidP="00AD3D30">
            <w:pPr>
              <w:pStyle w:val="Compact"/>
              <w:rPr>
                <w:rFonts w:ascii="Arial" w:hAnsi="Arial" w:cs="Arial"/>
                <w:color w:val="000000" w:themeColor="text1"/>
                <w:sz w:val="20"/>
                <w:szCs w:val="20"/>
              </w:rPr>
            </w:pPr>
          </w:p>
        </w:tc>
        <w:tc>
          <w:tcPr>
            <w:tcW w:w="0" w:type="auto"/>
          </w:tcPr>
          <w:p w14:paraId="42E38C17"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b/>
                <w:bCs/>
                <w:color w:val="000000" w:themeColor="text1"/>
                <w:sz w:val="20"/>
                <w:szCs w:val="20"/>
              </w:rPr>
              <w:t>266</w:t>
            </w:r>
          </w:p>
        </w:tc>
      </w:tr>
    </w:tbl>
    <w:p w14:paraId="12A552F9" w14:textId="77777777" w:rsidR="005D1369" w:rsidRPr="00AD3D30" w:rsidRDefault="00000000" w:rsidP="00AD3D30">
      <w:pPr>
        <w:pStyle w:val="Textoindependiente"/>
        <w:jc w:val="both"/>
        <w:rPr>
          <w:rFonts w:ascii="Arial" w:hAnsi="Arial" w:cs="Arial"/>
          <w:color w:val="000000" w:themeColor="text1"/>
          <w:sz w:val="20"/>
          <w:szCs w:val="20"/>
        </w:rPr>
      </w:pPr>
      <w:r w:rsidRPr="00AD3D30">
        <w:rPr>
          <w:rFonts w:ascii="Arial" w:hAnsi="Arial" w:cs="Arial"/>
          <w:b/>
          <w:bCs/>
          <w:color w:val="000000" w:themeColor="text1"/>
          <w:sz w:val="20"/>
          <w:szCs w:val="20"/>
        </w:rPr>
        <w:t>Scopus filters.</w:t>
      </w:r>
      <w:r w:rsidRPr="00AD3D30">
        <w:rPr>
          <w:rFonts w:ascii="Arial" w:hAnsi="Arial" w:cs="Arial"/>
          <w:color w:val="000000" w:themeColor="text1"/>
          <w:sz w:val="20"/>
          <w:szCs w:val="20"/>
        </w:rPr>
        <w:t xml:space="preserve"> The year (2022–2026), language (English or Spanish) and document type (peer-reviewed journal article) restrictions were not set as Scopus limiters; they were applied as eligibility criteria CI1–CI3 during screening.</w:t>
      </w:r>
    </w:p>
    <w:p w14:paraId="6B6CD559" w14:textId="77777777" w:rsidR="005D1369" w:rsidRPr="00AD3D30" w:rsidRDefault="00000000" w:rsidP="00AD3D30">
      <w:pPr>
        <w:pStyle w:val="Textoindependiente"/>
        <w:jc w:val="both"/>
        <w:rPr>
          <w:rFonts w:ascii="Arial" w:hAnsi="Arial" w:cs="Arial"/>
          <w:color w:val="000000" w:themeColor="text1"/>
          <w:sz w:val="20"/>
          <w:szCs w:val="20"/>
        </w:rPr>
      </w:pPr>
      <w:r w:rsidRPr="00AD3D30">
        <w:rPr>
          <w:rFonts w:ascii="Arial" w:hAnsi="Arial" w:cs="Arial"/>
          <w:color w:val="000000" w:themeColor="text1"/>
          <w:sz w:val="20"/>
          <w:szCs w:val="20"/>
        </w:rPr>
        <w:t>No filters were applied at retrieval; year, language and document type were applied as eligibility criteria during screening (Section 1.3), so every exclusion is traceable in the PRISMA diagram.</w:t>
      </w:r>
    </w:p>
    <w:p w14:paraId="4941AEB1" w14:textId="77777777" w:rsidR="005D1369" w:rsidRPr="00AD3D30" w:rsidRDefault="00000000" w:rsidP="00AD3D30">
      <w:pPr>
        <w:pStyle w:val="Ttulo3"/>
        <w:jc w:val="both"/>
        <w:rPr>
          <w:rFonts w:ascii="Arial" w:hAnsi="Arial" w:cs="Arial"/>
          <w:color w:val="000000" w:themeColor="text1"/>
          <w:sz w:val="20"/>
          <w:szCs w:val="20"/>
          <w:u w:val="single"/>
        </w:rPr>
      </w:pPr>
      <w:bookmarkStart w:id="4" w:name="inclusion-and-exclusion-criteria"/>
      <w:bookmarkEnd w:id="3"/>
      <w:r w:rsidRPr="00AD3D30">
        <w:rPr>
          <w:rFonts w:ascii="Arial" w:hAnsi="Arial" w:cs="Arial"/>
          <w:color w:val="000000" w:themeColor="text1"/>
          <w:sz w:val="20"/>
          <w:szCs w:val="20"/>
          <w:u w:val="single"/>
        </w:rPr>
        <w:t>1.3 Inclusion and exclusion criteria</w:t>
      </w:r>
    </w:p>
    <w:p w14:paraId="77D7A3C6" w14:textId="74553C41" w:rsidR="005D1369" w:rsidRPr="00AD3D30" w:rsidRDefault="00000000" w:rsidP="00AD3D30">
      <w:pPr>
        <w:pStyle w:val="FirstParagraph"/>
        <w:rPr>
          <w:rFonts w:ascii="Arial" w:hAnsi="Arial" w:cs="Arial"/>
          <w:color w:val="000000" w:themeColor="text1"/>
          <w:sz w:val="20"/>
          <w:szCs w:val="20"/>
        </w:rPr>
      </w:pPr>
      <w:r w:rsidRPr="00AD3D30">
        <w:rPr>
          <w:rFonts w:ascii="Arial" w:hAnsi="Arial" w:cs="Arial"/>
          <w:b/>
          <w:bCs/>
          <w:color w:val="000000" w:themeColor="text1"/>
          <w:sz w:val="20"/>
          <w:szCs w:val="20"/>
        </w:rPr>
        <w:t>Table 1.3a: Inclusion criteria</w:t>
      </w:r>
    </w:p>
    <w:tbl>
      <w:tblPr>
        <w:tblStyle w:val="Table"/>
        <w:tblW w:w="5000" w:type="pct"/>
        <w:tblLook w:val="0020" w:firstRow="1" w:lastRow="0" w:firstColumn="0" w:lastColumn="0" w:noHBand="0" w:noVBand="0"/>
      </w:tblPr>
      <w:tblGrid>
        <w:gridCol w:w="695"/>
        <w:gridCol w:w="8359"/>
      </w:tblGrid>
      <w:tr w:rsidR="005D1369" w:rsidRPr="00AD3D30" w14:paraId="629C4F34" w14:textId="77777777" w:rsidTr="005D1369">
        <w:trPr>
          <w:cnfStyle w:val="100000000000" w:firstRow="1" w:lastRow="0" w:firstColumn="0" w:lastColumn="0" w:oddVBand="0" w:evenVBand="0" w:oddHBand="0" w:evenHBand="0" w:firstRowFirstColumn="0" w:firstRowLastColumn="0" w:lastRowFirstColumn="0" w:lastRowLastColumn="0"/>
          <w:tblHeader/>
        </w:trPr>
        <w:tc>
          <w:tcPr>
            <w:tcW w:w="0" w:type="auto"/>
          </w:tcPr>
          <w:p w14:paraId="26B2DD37"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Code</w:t>
            </w:r>
          </w:p>
        </w:tc>
        <w:tc>
          <w:tcPr>
            <w:tcW w:w="0" w:type="auto"/>
          </w:tcPr>
          <w:p w14:paraId="36DD4B3E"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Inclusion criterion (CI)</w:t>
            </w:r>
          </w:p>
        </w:tc>
      </w:tr>
      <w:tr w:rsidR="005D1369" w:rsidRPr="00AD3D30" w14:paraId="3B528DDF" w14:textId="77777777">
        <w:tc>
          <w:tcPr>
            <w:tcW w:w="0" w:type="auto"/>
          </w:tcPr>
          <w:p w14:paraId="21977B3F"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CI1</w:t>
            </w:r>
          </w:p>
        </w:tc>
        <w:tc>
          <w:tcPr>
            <w:tcW w:w="0" w:type="auto"/>
          </w:tcPr>
          <w:p w14:paraId="4B5FF54E"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Peer-reviewed journal article (empirical, review or conceptual)</w:t>
            </w:r>
          </w:p>
        </w:tc>
      </w:tr>
      <w:tr w:rsidR="005D1369" w:rsidRPr="00AD3D30" w14:paraId="445762C7" w14:textId="77777777">
        <w:tc>
          <w:tcPr>
            <w:tcW w:w="0" w:type="auto"/>
          </w:tcPr>
          <w:p w14:paraId="69198A5D"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CI2</w:t>
            </w:r>
          </w:p>
        </w:tc>
        <w:tc>
          <w:tcPr>
            <w:tcW w:w="0" w:type="auto"/>
          </w:tcPr>
          <w:p w14:paraId="13DDF046" w14:textId="77777777" w:rsidR="005D1369" w:rsidRPr="00AD3D30" w:rsidRDefault="00000000" w:rsidP="00AD3D30">
            <w:pPr>
              <w:pStyle w:val="Compact"/>
              <w:rPr>
                <w:rFonts w:ascii="Arial" w:hAnsi="Arial" w:cs="Arial"/>
                <w:color w:val="000000" w:themeColor="text1"/>
                <w:sz w:val="20"/>
                <w:szCs w:val="20"/>
              </w:rPr>
            </w:pPr>
            <w:r>
              <w:rPr>
                <w:rFonts w:ascii="Arial" w:hAnsi="Arial" w:cs="Arial"/>
                <w:color w:val="000000" w:themeColor="text1"/>
                <w:sz w:val="20"/>
                <w:szCs w:val="20"/>
              </w:rPr>
              <w:t>Published 2022–2026 (recent literature; the thesis data cover 2020–2025)</w:t>
            </w:r>
          </w:p>
        </w:tc>
      </w:tr>
      <w:tr w:rsidR="005D1369" w:rsidRPr="00AD3D30" w14:paraId="01433534" w14:textId="77777777">
        <w:tc>
          <w:tcPr>
            <w:tcW w:w="0" w:type="auto"/>
          </w:tcPr>
          <w:p w14:paraId="677552B8"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CI3</w:t>
            </w:r>
          </w:p>
        </w:tc>
        <w:tc>
          <w:tcPr>
            <w:tcW w:w="0" w:type="auto"/>
          </w:tcPr>
          <w:p w14:paraId="1AF3424D"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Written in English or Spanish</w:t>
            </w:r>
          </w:p>
        </w:tc>
      </w:tr>
      <w:tr w:rsidR="005D1369" w:rsidRPr="00AD3D30" w14:paraId="14A6CE45" w14:textId="77777777">
        <w:tc>
          <w:tcPr>
            <w:tcW w:w="0" w:type="auto"/>
          </w:tcPr>
          <w:p w14:paraId="0A5CCC55"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CI4</w:t>
            </w:r>
          </w:p>
        </w:tc>
        <w:tc>
          <w:tcPr>
            <w:tcW w:w="0" w:type="auto"/>
          </w:tcPr>
          <w:p w14:paraId="25179473"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Addresses (a) AI, ML or quantitative decision methods applied to sustainability in supply chains, trade or procurement, or (b) sustainability assessment (LCA, certification, environmental criteria) in pulp, paper, wood or material supply chains</w:t>
            </w:r>
          </w:p>
        </w:tc>
      </w:tr>
      <w:tr w:rsidR="005D1369" w:rsidRPr="00AD3D30" w14:paraId="290374EE" w14:textId="77777777">
        <w:tc>
          <w:tcPr>
            <w:tcW w:w="0" w:type="auto"/>
          </w:tcPr>
          <w:p w14:paraId="5E43D7A9"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CI5</w:t>
            </w:r>
          </w:p>
        </w:tc>
        <w:tc>
          <w:tcPr>
            <w:tcW w:w="0" w:type="auto"/>
          </w:tcPr>
          <w:p w14:paraId="6BB5657E"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Reports design, data and context clearly enough to extract them</w:t>
            </w:r>
          </w:p>
        </w:tc>
      </w:tr>
      <w:tr w:rsidR="005D1369" w:rsidRPr="00AD3D30" w14:paraId="7C239CF4" w14:textId="77777777">
        <w:tc>
          <w:tcPr>
            <w:tcW w:w="0" w:type="auto"/>
          </w:tcPr>
          <w:p w14:paraId="04A9A681"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CI6</w:t>
            </w:r>
          </w:p>
        </w:tc>
        <w:tc>
          <w:tcPr>
            <w:tcW w:w="0" w:type="auto"/>
          </w:tcPr>
          <w:p w14:paraId="7B6566BF"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Full text accessible</w:t>
            </w:r>
          </w:p>
        </w:tc>
      </w:tr>
    </w:tbl>
    <w:p w14:paraId="7A9C5FA6" w14:textId="35AB23D4" w:rsidR="005D1369" w:rsidRPr="00AD3D30" w:rsidRDefault="00000000" w:rsidP="00AD3D30">
      <w:pPr>
        <w:pStyle w:val="Textoindependiente"/>
        <w:rPr>
          <w:rFonts w:ascii="Arial" w:hAnsi="Arial" w:cs="Arial"/>
          <w:color w:val="000000" w:themeColor="text1"/>
          <w:sz w:val="20"/>
          <w:szCs w:val="20"/>
        </w:rPr>
      </w:pPr>
      <w:r w:rsidRPr="00AD3D30">
        <w:rPr>
          <w:rFonts w:ascii="Arial" w:hAnsi="Arial" w:cs="Arial"/>
          <w:b/>
          <w:bCs/>
          <w:color w:val="000000" w:themeColor="text1"/>
          <w:sz w:val="20"/>
          <w:szCs w:val="20"/>
        </w:rPr>
        <w:t>Table 1.3b: Exclusion criteria</w:t>
      </w:r>
    </w:p>
    <w:tbl>
      <w:tblPr>
        <w:tblStyle w:val="Table"/>
        <w:tblW w:w="5000" w:type="pct"/>
        <w:tblLook w:val="0020" w:firstRow="1" w:lastRow="0" w:firstColumn="0" w:lastColumn="0" w:noHBand="0" w:noVBand="0"/>
      </w:tblPr>
      <w:tblGrid>
        <w:gridCol w:w="735"/>
        <w:gridCol w:w="8319"/>
      </w:tblGrid>
      <w:tr w:rsidR="005D1369" w:rsidRPr="00AD3D30" w14:paraId="0108F9E8" w14:textId="77777777" w:rsidTr="005D1369">
        <w:trPr>
          <w:cnfStyle w:val="100000000000" w:firstRow="1" w:lastRow="0" w:firstColumn="0" w:lastColumn="0" w:oddVBand="0" w:evenVBand="0" w:oddHBand="0" w:evenHBand="0" w:firstRowFirstColumn="0" w:firstRowLastColumn="0" w:lastRowFirstColumn="0" w:lastRowLastColumn="0"/>
          <w:tblHeader/>
        </w:trPr>
        <w:tc>
          <w:tcPr>
            <w:tcW w:w="0" w:type="auto"/>
          </w:tcPr>
          <w:p w14:paraId="5C0E545F"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Code</w:t>
            </w:r>
          </w:p>
        </w:tc>
        <w:tc>
          <w:tcPr>
            <w:tcW w:w="0" w:type="auto"/>
          </w:tcPr>
          <w:p w14:paraId="2CC79E19"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Exclusion criterion (CE)</w:t>
            </w:r>
          </w:p>
        </w:tc>
      </w:tr>
      <w:tr w:rsidR="005D1369" w:rsidRPr="00AD3D30" w14:paraId="320DA417" w14:textId="77777777">
        <w:tc>
          <w:tcPr>
            <w:tcW w:w="0" w:type="auto"/>
          </w:tcPr>
          <w:p w14:paraId="5067DE12"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CE1</w:t>
            </w:r>
          </w:p>
        </w:tc>
        <w:tc>
          <w:tcPr>
            <w:tcW w:w="0" w:type="auto"/>
          </w:tcPr>
          <w:p w14:paraId="3BBF397F"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Conference paper, book chapter, thesis, preprint or editorial</w:t>
            </w:r>
          </w:p>
        </w:tc>
      </w:tr>
      <w:tr w:rsidR="005D1369" w:rsidRPr="00AD3D30" w14:paraId="579D51F7" w14:textId="77777777">
        <w:tc>
          <w:tcPr>
            <w:tcW w:w="0" w:type="auto"/>
          </w:tcPr>
          <w:p w14:paraId="505CCFDC"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CE2</w:t>
            </w:r>
          </w:p>
        </w:tc>
        <w:tc>
          <w:tcPr>
            <w:tcW w:w="0" w:type="auto"/>
          </w:tcPr>
          <w:p w14:paraId="139F0C08"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Published before 2022</w:t>
            </w:r>
          </w:p>
        </w:tc>
      </w:tr>
      <w:tr w:rsidR="005D1369" w:rsidRPr="00AD3D30" w14:paraId="64E341B0" w14:textId="77777777">
        <w:tc>
          <w:tcPr>
            <w:tcW w:w="0" w:type="auto"/>
          </w:tcPr>
          <w:p w14:paraId="495E606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CE3</w:t>
            </w:r>
          </w:p>
        </w:tc>
        <w:tc>
          <w:tcPr>
            <w:tcW w:w="0" w:type="auto"/>
          </w:tcPr>
          <w:p w14:paraId="44A40F14"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Any language other than English or Spanish</w:t>
            </w:r>
          </w:p>
        </w:tc>
      </w:tr>
      <w:tr w:rsidR="005D1369" w:rsidRPr="00AD3D30" w14:paraId="15E44418" w14:textId="77777777">
        <w:tc>
          <w:tcPr>
            <w:tcW w:w="0" w:type="auto"/>
          </w:tcPr>
          <w:p w14:paraId="7D5BEB74"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CE4</w:t>
            </w:r>
          </w:p>
        </w:tc>
        <w:tc>
          <w:tcPr>
            <w:tcW w:w="0" w:type="auto"/>
          </w:tcPr>
          <w:p w14:paraId="4A64BE45"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Process-engineering or technical study with no supply-chain, trade or procurement link</w:t>
            </w:r>
          </w:p>
        </w:tc>
      </w:tr>
      <w:tr w:rsidR="005D1369" w:rsidRPr="00AD3D30" w14:paraId="7436B1E4" w14:textId="77777777">
        <w:tc>
          <w:tcPr>
            <w:tcW w:w="0" w:type="auto"/>
          </w:tcPr>
          <w:p w14:paraId="71151D3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CE5</w:t>
            </w:r>
          </w:p>
        </w:tc>
        <w:tc>
          <w:tcPr>
            <w:tcW w:w="0" w:type="auto"/>
          </w:tcPr>
          <w:p w14:paraId="520DBDC9"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ML or AI applied to trade or logistics with no sustainability dimension</w:t>
            </w:r>
          </w:p>
        </w:tc>
      </w:tr>
      <w:tr w:rsidR="005D1369" w:rsidRPr="00AD3D30" w14:paraId="43D1505D" w14:textId="77777777">
        <w:tc>
          <w:tcPr>
            <w:tcW w:w="0" w:type="auto"/>
          </w:tcPr>
          <w:p w14:paraId="71536AEA"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CE6</w:t>
            </w:r>
          </w:p>
        </w:tc>
        <w:tc>
          <w:tcPr>
            <w:tcW w:w="0" w:type="auto"/>
          </w:tcPr>
          <w:p w14:paraId="28399336"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Insufficient methodological reporting</w:t>
            </w:r>
          </w:p>
        </w:tc>
      </w:tr>
      <w:tr w:rsidR="005D1369" w:rsidRPr="00AD3D30" w14:paraId="369C87FD" w14:textId="77777777">
        <w:tc>
          <w:tcPr>
            <w:tcW w:w="0" w:type="auto"/>
          </w:tcPr>
          <w:p w14:paraId="5004E024"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CE7</w:t>
            </w:r>
          </w:p>
        </w:tc>
        <w:tc>
          <w:tcPr>
            <w:tcW w:w="0" w:type="auto"/>
          </w:tcPr>
          <w:p w14:paraId="6617B58B"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Full text not retrievable</w:t>
            </w:r>
          </w:p>
        </w:tc>
      </w:tr>
      <w:tr w:rsidR="005D1369" w:rsidRPr="00AD3D30" w14:paraId="272BAAFE" w14:textId="77777777">
        <w:tc>
          <w:tcPr>
            <w:tcW w:w="0" w:type="auto"/>
          </w:tcPr>
          <w:p w14:paraId="2E19BD5E"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CE8</w:t>
            </w:r>
          </w:p>
        </w:tc>
        <w:tc>
          <w:tcPr>
            <w:tcW w:w="0" w:type="auto"/>
          </w:tcPr>
          <w:p w14:paraId="2C828B6D"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Duplicate content or overlapping version of a study already assessed</w:t>
            </w:r>
          </w:p>
        </w:tc>
      </w:tr>
    </w:tbl>
    <w:p w14:paraId="28E8BA76" w14:textId="77777777" w:rsidR="005D1369" w:rsidRPr="00AD3D30" w:rsidRDefault="00000000" w:rsidP="00AD3D30">
      <w:pPr>
        <w:pStyle w:val="Ttulo3"/>
        <w:rPr>
          <w:rFonts w:ascii="Arial" w:hAnsi="Arial" w:cs="Arial"/>
          <w:color w:val="000000" w:themeColor="text1"/>
          <w:sz w:val="20"/>
          <w:szCs w:val="20"/>
        </w:rPr>
      </w:pPr>
      <w:bookmarkStart w:id="5" w:name="the-10-included-articles-apa-7th-edition"/>
      <w:bookmarkEnd w:id="4"/>
      <w:r w:rsidRPr="00AD3D30">
        <w:rPr>
          <w:rFonts w:ascii="Arial" w:hAnsi="Arial" w:cs="Arial"/>
          <w:color w:val="000000" w:themeColor="text1"/>
          <w:sz w:val="20"/>
          <w:szCs w:val="20"/>
        </w:rPr>
        <w:t>1.4 The 10 included articles (APA 7th edition)</w:t>
      </w:r>
    </w:p>
    <w:p w14:paraId="0346152A" w14:textId="77777777" w:rsidR="005D1369" w:rsidRPr="00AD3D30" w:rsidRDefault="00000000" w:rsidP="00AD3D30">
      <w:pPr>
        <w:pStyle w:val="FirstParagraph"/>
        <w:rPr>
          <w:rFonts w:ascii="Arial" w:hAnsi="Arial" w:cs="Arial"/>
          <w:color w:val="000000" w:themeColor="text1"/>
          <w:sz w:val="20"/>
          <w:szCs w:val="20"/>
        </w:rPr>
      </w:pPr>
      <w:r w:rsidRPr="00AD3D30">
        <w:rPr>
          <w:rFonts w:ascii="Arial" w:hAnsi="Arial" w:cs="Arial"/>
          <w:color w:val="000000" w:themeColor="text1"/>
          <w:sz w:val="20"/>
          <w:szCs w:val="20"/>
        </w:rPr>
        <w:t>Articles are listed alphabetically and coded A1–A10; the codes are used in Sections 1.5 and 3.1.</w:t>
      </w:r>
    </w:p>
    <w:p w14:paraId="32A6ACFF" w14:textId="2E27C098" w:rsidR="005D1369" w:rsidRPr="00AD3D30" w:rsidRDefault="00000000" w:rsidP="00AD3D30">
      <w:pPr>
        <w:pStyle w:val="Compact"/>
        <w:numPr>
          <w:ilvl w:val="0"/>
          <w:numId w:val="2"/>
        </w:numPr>
        <w:jc w:val="both"/>
        <w:rPr>
          <w:rFonts w:ascii="Arial" w:hAnsi="Arial" w:cs="Arial"/>
          <w:color w:val="000000" w:themeColor="text1"/>
          <w:sz w:val="20"/>
          <w:szCs w:val="20"/>
        </w:rPr>
      </w:pPr>
      <w:r w:rsidRPr="00AD3D30">
        <w:rPr>
          <w:rFonts w:ascii="Arial" w:hAnsi="Arial" w:cs="Arial"/>
          <w:b/>
          <w:bCs/>
          <w:color w:val="000000" w:themeColor="text1"/>
          <w:sz w:val="20"/>
          <w:szCs w:val="20"/>
          <w:lang w:val="es-PE"/>
        </w:rPr>
        <w:t>[A1]</w:t>
      </w:r>
      <w:r w:rsidRPr="00AD3D30">
        <w:rPr>
          <w:rFonts w:ascii="Arial" w:hAnsi="Arial" w:cs="Arial"/>
          <w:color w:val="000000" w:themeColor="text1"/>
          <w:sz w:val="20"/>
          <w:szCs w:val="20"/>
          <w:lang w:val="es-PE"/>
        </w:rPr>
        <w:t xml:space="preserve"> Akintayo, B., Gento, A. M., Akintayo, D. C., Pino, Y., &amp; Olanrewaju, O. (2026). </w:t>
      </w:r>
      <w:r w:rsidRPr="00AD3D30">
        <w:rPr>
          <w:rFonts w:ascii="Arial" w:hAnsi="Arial" w:cs="Arial"/>
          <w:color w:val="000000" w:themeColor="text1"/>
          <w:sz w:val="20"/>
          <w:szCs w:val="20"/>
        </w:rPr>
        <w:t xml:space="preserve">Systematic analysis of life cycle assessment tools in supply chain management. </w:t>
      </w:r>
      <w:r w:rsidRPr="00AD3D30">
        <w:rPr>
          <w:rFonts w:ascii="Arial" w:hAnsi="Arial" w:cs="Arial"/>
          <w:i/>
          <w:iCs/>
          <w:color w:val="000000" w:themeColor="text1"/>
          <w:sz w:val="20"/>
          <w:szCs w:val="20"/>
        </w:rPr>
        <w:t>Cleaner Logistics and Supply Chain, 21</w:t>
      </w:r>
      <w:r w:rsidRPr="00AD3D30">
        <w:rPr>
          <w:rFonts w:ascii="Arial" w:hAnsi="Arial" w:cs="Arial"/>
          <w:color w:val="000000" w:themeColor="text1"/>
          <w:sz w:val="20"/>
          <w:szCs w:val="20"/>
        </w:rPr>
        <w:t xml:space="preserve">, Article 100371. </w:t>
      </w:r>
      <w:hyperlink r:id="rId9" w:history="1">
        <w:r w:rsidR="00AD3D30" w:rsidRPr="00AD3D30">
          <w:rPr>
            <w:rStyle w:val="Hipervnculo"/>
            <w:rFonts w:ascii="Arial" w:hAnsi="Arial" w:cs="Arial"/>
            <w:sz w:val="20"/>
            <w:szCs w:val="20"/>
          </w:rPr>
          <w:t>https://doi.org/10.1016/j.clscn.2026.100371</w:t>
        </w:r>
      </w:hyperlink>
    </w:p>
    <w:p w14:paraId="587E22CE" w14:textId="77777777" w:rsidR="00AD3D30" w:rsidRPr="00AD3D30" w:rsidRDefault="00AD3D30" w:rsidP="00AD3D30">
      <w:pPr>
        <w:pStyle w:val="Compact"/>
        <w:ind w:left="720"/>
        <w:jc w:val="both"/>
        <w:rPr>
          <w:rFonts w:ascii="Arial" w:hAnsi="Arial" w:cs="Arial"/>
          <w:color w:val="000000" w:themeColor="text1"/>
          <w:sz w:val="20"/>
          <w:szCs w:val="20"/>
        </w:rPr>
      </w:pPr>
    </w:p>
    <w:p w14:paraId="3F478A15" w14:textId="212EA889" w:rsidR="005D1369" w:rsidRPr="00AD3D30" w:rsidRDefault="00000000" w:rsidP="00AD3D30">
      <w:pPr>
        <w:pStyle w:val="Compact"/>
        <w:numPr>
          <w:ilvl w:val="0"/>
          <w:numId w:val="2"/>
        </w:numPr>
        <w:jc w:val="both"/>
        <w:rPr>
          <w:rFonts w:ascii="Arial" w:hAnsi="Arial" w:cs="Arial"/>
          <w:color w:val="000000" w:themeColor="text1"/>
          <w:sz w:val="20"/>
          <w:szCs w:val="20"/>
        </w:rPr>
      </w:pPr>
      <w:r w:rsidRPr="00AD3D30">
        <w:rPr>
          <w:rFonts w:ascii="Arial" w:hAnsi="Arial" w:cs="Arial"/>
          <w:b/>
          <w:bCs/>
          <w:color w:val="000000" w:themeColor="text1"/>
          <w:sz w:val="20"/>
          <w:szCs w:val="20"/>
        </w:rPr>
        <w:t>[A2]</w:t>
      </w:r>
      <w:r w:rsidRPr="00AD3D30">
        <w:rPr>
          <w:rFonts w:ascii="Arial" w:hAnsi="Arial" w:cs="Arial"/>
          <w:color w:val="000000" w:themeColor="text1"/>
          <w:sz w:val="20"/>
          <w:szCs w:val="20"/>
        </w:rPr>
        <w:t xml:space="preserve"> Aydogan, H. (2026). Determinants of chemical wood pulp production in Europe: Evidence from panel econometrics and machine learning. </w:t>
      </w:r>
      <w:r w:rsidRPr="00AD3D30">
        <w:rPr>
          <w:rFonts w:ascii="Arial" w:hAnsi="Arial" w:cs="Arial"/>
          <w:i/>
          <w:iCs/>
          <w:color w:val="000000" w:themeColor="text1"/>
          <w:sz w:val="20"/>
          <w:szCs w:val="20"/>
        </w:rPr>
        <w:t>European Journal of Forest Research, 145</w:t>
      </w:r>
      <w:r w:rsidRPr="00AD3D30">
        <w:rPr>
          <w:rFonts w:ascii="Arial" w:hAnsi="Arial" w:cs="Arial"/>
          <w:color w:val="000000" w:themeColor="text1"/>
          <w:sz w:val="20"/>
          <w:szCs w:val="20"/>
        </w:rPr>
        <w:t xml:space="preserve">, Article 72. </w:t>
      </w:r>
      <w:hyperlink r:id="rId10" w:history="1">
        <w:r w:rsidR="00AD3D30" w:rsidRPr="00AD3D30">
          <w:rPr>
            <w:rStyle w:val="Hipervnculo"/>
            <w:rFonts w:ascii="Arial" w:hAnsi="Arial" w:cs="Arial"/>
            <w:sz w:val="20"/>
            <w:szCs w:val="20"/>
          </w:rPr>
          <w:t>https://doi.org/10.1007/s10342-026-01907-4</w:t>
        </w:r>
      </w:hyperlink>
    </w:p>
    <w:p w14:paraId="3F5A42CF" w14:textId="77777777" w:rsidR="00AD3D30" w:rsidRPr="00AD3D30" w:rsidRDefault="00AD3D30" w:rsidP="00AD3D30">
      <w:pPr>
        <w:pStyle w:val="Compact"/>
        <w:ind w:left="720"/>
        <w:jc w:val="both"/>
        <w:rPr>
          <w:rFonts w:ascii="Arial" w:hAnsi="Arial" w:cs="Arial"/>
          <w:color w:val="000000" w:themeColor="text1"/>
          <w:sz w:val="20"/>
          <w:szCs w:val="20"/>
        </w:rPr>
      </w:pPr>
    </w:p>
    <w:p w14:paraId="36891122" w14:textId="77777777" w:rsidR="005D1369" w:rsidRPr="00AD3D30" w:rsidRDefault="00000000" w:rsidP="00AD3D30">
      <w:pPr>
        <w:pStyle w:val="Compact"/>
        <w:numPr>
          <w:ilvl w:val="0"/>
          <w:numId w:val="2"/>
        </w:numPr>
        <w:jc w:val="both"/>
        <w:rPr>
          <w:rStyle w:val="Hipervnculo"/>
          <w:rFonts w:ascii="Arial" w:hAnsi="Arial" w:cs="Arial"/>
          <w:sz w:val="20"/>
          <w:szCs w:val="20"/>
        </w:rPr>
      </w:pPr>
      <w:r w:rsidRPr="00AD3D30">
        <w:rPr>
          <w:rFonts w:ascii="Arial" w:hAnsi="Arial" w:cs="Arial"/>
          <w:b/>
          <w:bCs/>
          <w:color w:val="000000" w:themeColor="text1"/>
          <w:sz w:val="20"/>
          <w:szCs w:val="20"/>
        </w:rPr>
        <w:t>[A3]</w:t>
      </w:r>
      <w:r w:rsidRPr="00AD3D30">
        <w:rPr>
          <w:rFonts w:ascii="Arial" w:hAnsi="Arial" w:cs="Arial"/>
          <w:color w:val="000000" w:themeColor="text1"/>
          <w:sz w:val="20"/>
          <w:szCs w:val="20"/>
        </w:rPr>
        <w:t xml:space="preserve"> Bukowski, L., &amp; Werbinska-Wojciechowska, S. (2025). Towards Maintenance 5.0: Resilience-based maintenance in AI-driven sustainable and human-centric industrial systems. </w:t>
      </w:r>
      <w:r w:rsidRPr="00AD3D30">
        <w:rPr>
          <w:rFonts w:ascii="Arial" w:hAnsi="Arial" w:cs="Arial"/>
          <w:i/>
          <w:iCs/>
          <w:color w:val="000000" w:themeColor="text1"/>
          <w:sz w:val="20"/>
          <w:szCs w:val="20"/>
        </w:rPr>
        <w:t>Sensors, 25</w:t>
      </w:r>
      <w:r w:rsidRPr="00AD3D30">
        <w:rPr>
          <w:rFonts w:ascii="Arial" w:hAnsi="Arial" w:cs="Arial"/>
          <w:color w:val="000000" w:themeColor="text1"/>
          <w:sz w:val="20"/>
          <w:szCs w:val="20"/>
        </w:rPr>
        <w:t xml:space="preserve">(16), Article 5100. </w:t>
      </w:r>
      <w:r w:rsidRPr="00AD3D30">
        <w:rPr>
          <w:rStyle w:val="Hipervnculo"/>
          <w:rFonts w:ascii="Arial" w:hAnsi="Arial" w:cs="Arial"/>
          <w:sz w:val="20"/>
          <w:szCs w:val="20"/>
        </w:rPr>
        <w:t>https://doi.org/10.3390/s25165100</w:t>
      </w:r>
    </w:p>
    <w:p w14:paraId="08019991" w14:textId="77777777" w:rsidR="00AD3D30" w:rsidRPr="00AD3D30" w:rsidRDefault="00AD3D30" w:rsidP="00AD3D30">
      <w:pPr>
        <w:pStyle w:val="Compact"/>
        <w:ind w:left="720"/>
        <w:jc w:val="both"/>
        <w:rPr>
          <w:rFonts w:ascii="Arial" w:hAnsi="Arial" w:cs="Arial"/>
          <w:color w:val="000000" w:themeColor="text1"/>
          <w:sz w:val="20"/>
          <w:szCs w:val="20"/>
        </w:rPr>
      </w:pPr>
    </w:p>
    <w:p w14:paraId="761DEB08" w14:textId="648FBF2C" w:rsidR="00AD3D30" w:rsidRPr="00AD3D30" w:rsidRDefault="00000000" w:rsidP="00AD3D30">
      <w:pPr>
        <w:pStyle w:val="Compact"/>
        <w:numPr>
          <w:ilvl w:val="0"/>
          <w:numId w:val="2"/>
        </w:numPr>
        <w:jc w:val="both"/>
        <w:rPr>
          <w:rFonts w:ascii="Arial" w:hAnsi="Arial" w:cs="Arial"/>
          <w:color w:val="000000" w:themeColor="text1"/>
          <w:sz w:val="20"/>
          <w:szCs w:val="20"/>
        </w:rPr>
      </w:pPr>
      <w:r w:rsidRPr="00AD3D30">
        <w:rPr>
          <w:rFonts w:ascii="Arial" w:hAnsi="Arial" w:cs="Arial"/>
          <w:b/>
          <w:bCs/>
          <w:color w:val="000000" w:themeColor="text1"/>
          <w:sz w:val="20"/>
          <w:szCs w:val="20"/>
        </w:rPr>
        <w:lastRenderedPageBreak/>
        <w:t>[A4]</w:t>
      </w:r>
      <w:r w:rsidRPr="00AD3D30">
        <w:rPr>
          <w:rFonts w:ascii="Arial" w:hAnsi="Arial" w:cs="Arial"/>
          <w:color w:val="000000" w:themeColor="text1"/>
          <w:sz w:val="20"/>
          <w:szCs w:val="20"/>
        </w:rPr>
        <w:t xml:space="preserve"> Dalalah, D., Khan, S. A., Al-Ashram, Y., Albeetar, S., Abou Ali, Y., &amp; Alkhouli, E. (2022). An integrated framework for the assessment of environmental sustainability in wood supply chains. </w:t>
      </w:r>
      <w:r w:rsidRPr="00AD3D30">
        <w:rPr>
          <w:rFonts w:ascii="Arial" w:hAnsi="Arial" w:cs="Arial"/>
          <w:i/>
          <w:iCs/>
          <w:color w:val="000000" w:themeColor="text1"/>
          <w:sz w:val="20"/>
          <w:szCs w:val="20"/>
        </w:rPr>
        <w:t>Environmental Technology &amp; Innovation, 27</w:t>
      </w:r>
      <w:r w:rsidRPr="00AD3D30">
        <w:rPr>
          <w:rFonts w:ascii="Arial" w:hAnsi="Arial" w:cs="Arial"/>
          <w:color w:val="000000" w:themeColor="text1"/>
          <w:sz w:val="20"/>
          <w:szCs w:val="20"/>
        </w:rPr>
        <w:t xml:space="preserve">, Article 102429. </w:t>
      </w:r>
      <w:r w:rsidRPr="00AD3D30">
        <w:rPr>
          <w:rStyle w:val="Hipervnculo"/>
          <w:rFonts w:ascii="Arial" w:hAnsi="Arial" w:cs="Arial"/>
          <w:sz w:val="20"/>
          <w:szCs w:val="20"/>
        </w:rPr>
        <w:t>https://doi.org/10.1016/j.eti.2022.102429</w:t>
      </w:r>
    </w:p>
    <w:p w14:paraId="6ABE5A64" w14:textId="77777777" w:rsidR="00AD3D30" w:rsidRPr="00AD3D30" w:rsidRDefault="00AD3D30" w:rsidP="00AD3D30">
      <w:pPr>
        <w:pStyle w:val="Compact"/>
        <w:ind w:left="720"/>
        <w:jc w:val="both"/>
        <w:rPr>
          <w:rFonts w:ascii="Arial" w:hAnsi="Arial" w:cs="Arial"/>
          <w:color w:val="000000" w:themeColor="text1"/>
          <w:sz w:val="20"/>
          <w:szCs w:val="20"/>
        </w:rPr>
      </w:pPr>
    </w:p>
    <w:p w14:paraId="4DC73FED" w14:textId="77777777" w:rsidR="005D1369" w:rsidRPr="00AD3D30" w:rsidRDefault="00000000" w:rsidP="00AD3D30">
      <w:pPr>
        <w:pStyle w:val="Compact"/>
        <w:numPr>
          <w:ilvl w:val="0"/>
          <w:numId w:val="2"/>
        </w:numPr>
        <w:jc w:val="both"/>
        <w:rPr>
          <w:rStyle w:val="Hipervnculo"/>
          <w:rFonts w:ascii="Arial" w:hAnsi="Arial" w:cs="Arial"/>
          <w:color w:val="000000" w:themeColor="text1"/>
          <w:sz w:val="20"/>
          <w:szCs w:val="20"/>
        </w:rPr>
      </w:pPr>
      <w:r w:rsidRPr="00AD3D30">
        <w:rPr>
          <w:rFonts w:ascii="Arial" w:hAnsi="Arial" w:cs="Arial"/>
          <w:b/>
          <w:bCs/>
          <w:color w:val="000000" w:themeColor="text1"/>
          <w:sz w:val="20"/>
          <w:szCs w:val="20"/>
        </w:rPr>
        <w:t>[A5]</w:t>
      </w:r>
      <w:r w:rsidRPr="00AD3D30">
        <w:rPr>
          <w:rFonts w:ascii="Arial" w:hAnsi="Arial" w:cs="Arial"/>
          <w:color w:val="000000" w:themeColor="text1"/>
          <w:sz w:val="20"/>
          <w:szCs w:val="20"/>
        </w:rPr>
        <w:t xml:space="preserve"> Ghoroghi, A., Rezgui, Y., Petri, I., &amp; Beach, T. (2022). Advances in application of machine learning to life cycle assessment: A literature review. </w:t>
      </w:r>
      <w:r w:rsidRPr="00AD3D30">
        <w:rPr>
          <w:rFonts w:ascii="Arial" w:hAnsi="Arial" w:cs="Arial"/>
          <w:i/>
          <w:iCs/>
          <w:color w:val="000000" w:themeColor="text1"/>
          <w:sz w:val="20"/>
          <w:szCs w:val="20"/>
        </w:rPr>
        <w:t>The International Journal of Life Cycle Assessment, 27</w:t>
      </w:r>
      <w:r w:rsidRPr="00AD3D30">
        <w:rPr>
          <w:rFonts w:ascii="Arial" w:hAnsi="Arial" w:cs="Arial"/>
          <w:color w:val="000000" w:themeColor="text1"/>
          <w:sz w:val="20"/>
          <w:szCs w:val="20"/>
        </w:rPr>
        <w:t xml:space="preserve">(3), 433–456. </w:t>
      </w:r>
      <w:r w:rsidRPr="00AD3D30">
        <w:rPr>
          <w:rStyle w:val="Hipervnculo"/>
          <w:rFonts w:ascii="Arial" w:hAnsi="Arial" w:cs="Arial"/>
          <w:sz w:val="20"/>
          <w:szCs w:val="20"/>
        </w:rPr>
        <w:t>https://doi.org/10.1007/s11367-022-02030-3</w:t>
      </w:r>
    </w:p>
    <w:p w14:paraId="63D64F1F" w14:textId="77777777" w:rsidR="00AD3D30" w:rsidRPr="00AD3D30" w:rsidRDefault="00AD3D30" w:rsidP="00AD3D30">
      <w:pPr>
        <w:pStyle w:val="Compact"/>
        <w:ind w:left="720"/>
        <w:jc w:val="both"/>
        <w:rPr>
          <w:rFonts w:ascii="Arial" w:hAnsi="Arial" w:cs="Arial"/>
          <w:color w:val="000000" w:themeColor="text1"/>
          <w:sz w:val="20"/>
          <w:szCs w:val="20"/>
        </w:rPr>
      </w:pPr>
    </w:p>
    <w:p w14:paraId="6FEC56BD" w14:textId="77777777" w:rsidR="005D1369" w:rsidRPr="00AD3D30" w:rsidRDefault="00000000" w:rsidP="00AD3D30">
      <w:pPr>
        <w:pStyle w:val="Compact"/>
        <w:numPr>
          <w:ilvl w:val="0"/>
          <w:numId w:val="2"/>
        </w:numPr>
        <w:jc w:val="both"/>
        <w:rPr>
          <w:rStyle w:val="Hipervnculo"/>
          <w:rFonts w:ascii="Arial" w:hAnsi="Arial" w:cs="Arial"/>
          <w:color w:val="000000" w:themeColor="text1"/>
          <w:sz w:val="20"/>
          <w:szCs w:val="20"/>
        </w:rPr>
      </w:pPr>
      <w:r w:rsidRPr="00AD3D30">
        <w:rPr>
          <w:rFonts w:ascii="Arial" w:hAnsi="Arial" w:cs="Arial"/>
          <w:b/>
          <w:bCs/>
          <w:color w:val="000000" w:themeColor="text1"/>
          <w:sz w:val="20"/>
          <w:szCs w:val="20"/>
        </w:rPr>
        <w:t>[A6]</w:t>
      </w:r>
      <w:r w:rsidRPr="00AD3D30">
        <w:rPr>
          <w:rFonts w:ascii="Arial" w:hAnsi="Arial" w:cs="Arial"/>
          <w:color w:val="000000" w:themeColor="text1"/>
          <w:sz w:val="20"/>
          <w:szCs w:val="20"/>
        </w:rPr>
        <w:t xml:space="preserve"> Hosseini Dehshiri, S. J. (2026). Sustainable supplier selection based on a comparative decision-making approach under uncertainty. </w:t>
      </w:r>
      <w:r w:rsidRPr="00AD3D30">
        <w:rPr>
          <w:rFonts w:ascii="Arial" w:hAnsi="Arial" w:cs="Arial"/>
          <w:i/>
          <w:iCs/>
          <w:color w:val="000000" w:themeColor="text1"/>
          <w:sz w:val="20"/>
          <w:szCs w:val="20"/>
        </w:rPr>
        <w:t>Spectrum of Operational Research, 3</w:t>
      </w:r>
      <w:r w:rsidRPr="00AD3D30">
        <w:rPr>
          <w:rFonts w:ascii="Arial" w:hAnsi="Arial" w:cs="Arial"/>
          <w:color w:val="000000" w:themeColor="text1"/>
          <w:sz w:val="20"/>
          <w:szCs w:val="20"/>
        </w:rPr>
        <w:t xml:space="preserve">(1), 238–251. </w:t>
      </w:r>
      <w:r w:rsidRPr="00AD3D30">
        <w:rPr>
          <w:rStyle w:val="Hipervnculo"/>
          <w:rFonts w:ascii="Arial" w:hAnsi="Arial" w:cs="Arial"/>
          <w:sz w:val="20"/>
          <w:szCs w:val="20"/>
        </w:rPr>
        <w:t>https://doi.org/10.31181/sor31202644</w:t>
      </w:r>
    </w:p>
    <w:p w14:paraId="5B5D9920" w14:textId="77777777" w:rsidR="00AD3D30" w:rsidRPr="00AD3D30" w:rsidRDefault="00AD3D30" w:rsidP="00AD3D30">
      <w:pPr>
        <w:pStyle w:val="Compact"/>
        <w:ind w:left="720"/>
        <w:jc w:val="both"/>
        <w:rPr>
          <w:rFonts w:ascii="Arial" w:hAnsi="Arial" w:cs="Arial"/>
          <w:color w:val="000000" w:themeColor="text1"/>
          <w:sz w:val="20"/>
          <w:szCs w:val="20"/>
        </w:rPr>
      </w:pPr>
    </w:p>
    <w:p w14:paraId="58C88339" w14:textId="77777777" w:rsidR="005D1369" w:rsidRPr="00AD3D30" w:rsidRDefault="00000000" w:rsidP="00AD3D30">
      <w:pPr>
        <w:pStyle w:val="Compact"/>
        <w:numPr>
          <w:ilvl w:val="0"/>
          <w:numId w:val="2"/>
        </w:numPr>
        <w:jc w:val="both"/>
        <w:rPr>
          <w:rFonts w:ascii="Arial" w:hAnsi="Arial" w:cs="Arial"/>
          <w:color w:val="000000" w:themeColor="text1"/>
          <w:sz w:val="20"/>
          <w:szCs w:val="20"/>
        </w:rPr>
      </w:pPr>
      <w:r w:rsidRPr="00AD3D30">
        <w:rPr>
          <w:rFonts w:ascii="Arial" w:hAnsi="Arial" w:cs="Arial"/>
          <w:b/>
          <w:bCs/>
          <w:color w:val="000000" w:themeColor="text1"/>
          <w:sz w:val="20"/>
          <w:szCs w:val="20"/>
        </w:rPr>
        <w:t>[A7]</w:t>
      </w:r>
      <w:r w:rsidRPr="00AD3D30">
        <w:rPr>
          <w:rFonts w:ascii="Arial" w:hAnsi="Arial" w:cs="Arial"/>
          <w:color w:val="000000" w:themeColor="text1"/>
          <w:sz w:val="20"/>
          <w:szCs w:val="20"/>
        </w:rPr>
        <w:t xml:space="preserve"> Li, Y., Wang, M., Locatelli, G., &amp; Zhang, Y. (2024). Navigating the future of megaprojects sustainability: A comprehensive framework and research agendas. </w:t>
      </w:r>
      <w:r w:rsidRPr="00AD3D30">
        <w:rPr>
          <w:rFonts w:ascii="Arial" w:hAnsi="Arial" w:cs="Arial"/>
          <w:i/>
          <w:iCs/>
          <w:color w:val="000000" w:themeColor="text1"/>
          <w:sz w:val="20"/>
          <w:szCs w:val="20"/>
        </w:rPr>
        <w:t>International Journal of Managing Projects in Business, 17</w:t>
      </w:r>
      <w:r w:rsidRPr="00AD3D30">
        <w:rPr>
          <w:rFonts w:ascii="Arial" w:hAnsi="Arial" w:cs="Arial"/>
          <w:color w:val="000000" w:themeColor="text1"/>
          <w:sz w:val="20"/>
          <w:szCs w:val="20"/>
        </w:rPr>
        <w:t>(3), 533–561. https://doi.org/10.1108/IJMPB-02-2024-0027</w:t>
      </w:r>
    </w:p>
    <w:p w14:paraId="202CCA79" w14:textId="77777777" w:rsidR="00AD3D30" w:rsidRPr="00AD3D30" w:rsidRDefault="00AD3D30" w:rsidP="00AD3D30">
      <w:pPr>
        <w:pStyle w:val="Compact"/>
        <w:ind w:left="720"/>
        <w:jc w:val="both"/>
        <w:rPr>
          <w:rFonts w:ascii="Arial" w:hAnsi="Arial" w:cs="Arial"/>
          <w:color w:val="000000" w:themeColor="text1"/>
          <w:sz w:val="20"/>
          <w:szCs w:val="20"/>
        </w:rPr>
      </w:pPr>
    </w:p>
    <w:p w14:paraId="1F5F1792" w14:textId="77777777" w:rsidR="005D1369" w:rsidRPr="00AD3D30" w:rsidRDefault="00000000" w:rsidP="00AD3D30">
      <w:pPr>
        <w:pStyle w:val="Compact"/>
        <w:numPr>
          <w:ilvl w:val="0"/>
          <w:numId w:val="2"/>
        </w:numPr>
        <w:jc w:val="both"/>
        <w:rPr>
          <w:rFonts w:ascii="Arial" w:hAnsi="Arial" w:cs="Arial"/>
          <w:color w:val="000000" w:themeColor="text1"/>
          <w:sz w:val="20"/>
          <w:szCs w:val="20"/>
        </w:rPr>
      </w:pPr>
      <w:r w:rsidRPr="00AD3D30">
        <w:rPr>
          <w:rFonts w:ascii="Arial" w:hAnsi="Arial" w:cs="Arial"/>
          <w:b/>
          <w:bCs/>
          <w:color w:val="000000" w:themeColor="text1"/>
          <w:sz w:val="20"/>
          <w:szCs w:val="20"/>
        </w:rPr>
        <w:t>[A8]</w:t>
      </w:r>
      <w:r w:rsidRPr="00AD3D30">
        <w:rPr>
          <w:rFonts w:ascii="Arial" w:hAnsi="Arial" w:cs="Arial"/>
          <w:color w:val="000000" w:themeColor="text1"/>
          <w:sz w:val="20"/>
          <w:szCs w:val="20"/>
        </w:rPr>
        <w:t xml:space="preserve"> Lindblad, F. (2026). A layered decision architecture for circular construction supply chains: Integrating capabilities, constraints, and alignment. </w:t>
      </w:r>
      <w:r w:rsidRPr="00AD3D30">
        <w:rPr>
          <w:rFonts w:ascii="Arial" w:hAnsi="Arial" w:cs="Arial"/>
          <w:i/>
          <w:iCs/>
          <w:color w:val="000000" w:themeColor="text1"/>
          <w:sz w:val="20"/>
          <w:szCs w:val="20"/>
        </w:rPr>
        <w:t>Sustainability, 18</w:t>
      </w:r>
      <w:r w:rsidRPr="00AD3D30">
        <w:rPr>
          <w:rFonts w:ascii="Arial" w:hAnsi="Arial" w:cs="Arial"/>
          <w:color w:val="000000" w:themeColor="text1"/>
          <w:sz w:val="20"/>
          <w:szCs w:val="20"/>
        </w:rPr>
        <w:t xml:space="preserve">(17), Article 9121. </w:t>
      </w:r>
      <w:r w:rsidRPr="00AD3D30">
        <w:rPr>
          <w:rStyle w:val="Hipervnculo"/>
          <w:rFonts w:ascii="Arial" w:hAnsi="Arial" w:cs="Arial"/>
          <w:sz w:val="20"/>
          <w:szCs w:val="20"/>
        </w:rPr>
        <w:t>https://doi.org/10.3390/su18179121</w:t>
      </w:r>
    </w:p>
    <w:p w14:paraId="058FEDBC" w14:textId="77777777" w:rsidR="00AD3D30" w:rsidRPr="00AD3D30" w:rsidRDefault="00AD3D30" w:rsidP="00AD3D30">
      <w:pPr>
        <w:pStyle w:val="Compact"/>
        <w:ind w:left="720"/>
        <w:jc w:val="both"/>
        <w:rPr>
          <w:rFonts w:ascii="Arial" w:hAnsi="Arial" w:cs="Arial"/>
          <w:color w:val="000000" w:themeColor="text1"/>
          <w:sz w:val="20"/>
          <w:szCs w:val="20"/>
        </w:rPr>
      </w:pPr>
    </w:p>
    <w:p w14:paraId="1E180B2A" w14:textId="77777777" w:rsidR="005D1369" w:rsidRPr="00AD3D30" w:rsidRDefault="00000000" w:rsidP="00AD3D30">
      <w:pPr>
        <w:pStyle w:val="Compact"/>
        <w:numPr>
          <w:ilvl w:val="0"/>
          <w:numId w:val="2"/>
        </w:numPr>
        <w:jc w:val="both"/>
        <w:rPr>
          <w:rFonts w:ascii="Arial" w:hAnsi="Arial" w:cs="Arial"/>
          <w:color w:val="000000" w:themeColor="text1"/>
          <w:sz w:val="20"/>
          <w:szCs w:val="20"/>
        </w:rPr>
      </w:pPr>
      <w:r w:rsidRPr="00AD3D30">
        <w:rPr>
          <w:rFonts w:ascii="Arial" w:hAnsi="Arial" w:cs="Arial"/>
          <w:b/>
          <w:bCs/>
          <w:color w:val="000000" w:themeColor="text1"/>
          <w:sz w:val="20"/>
          <w:szCs w:val="20"/>
        </w:rPr>
        <w:t>[A9]</w:t>
      </w:r>
      <w:r w:rsidRPr="00AD3D30">
        <w:rPr>
          <w:rFonts w:ascii="Arial" w:hAnsi="Arial" w:cs="Arial"/>
          <w:color w:val="000000" w:themeColor="text1"/>
          <w:sz w:val="20"/>
          <w:szCs w:val="20"/>
        </w:rPr>
        <w:t xml:space="preserve"> Messaoudi, L., Hamdi, F., &amp; Euchi, J. (2025). Resilient and sustainable supplier selection: A chance-constrained approach under disruption risk. </w:t>
      </w:r>
      <w:r w:rsidRPr="00AD3D30">
        <w:rPr>
          <w:rFonts w:ascii="Arial" w:hAnsi="Arial" w:cs="Arial"/>
          <w:i/>
          <w:iCs/>
          <w:color w:val="000000" w:themeColor="text1"/>
          <w:sz w:val="20"/>
          <w:szCs w:val="20"/>
        </w:rPr>
        <w:t>Modern Supply Chain Research and Applications, 7</w:t>
      </w:r>
      <w:r w:rsidRPr="00AD3D30">
        <w:rPr>
          <w:rFonts w:ascii="Arial" w:hAnsi="Arial" w:cs="Arial"/>
          <w:color w:val="000000" w:themeColor="text1"/>
          <w:sz w:val="20"/>
          <w:szCs w:val="20"/>
        </w:rPr>
        <w:t xml:space="preserve">(4), 539–558. </w:t>
      </w:r>
      <w:r w:rsidRPr="00AD3D30">
        <w:rPr>
          <w:rStyle w:val="Hipervnculo"/>
          <w:rFonts w:ascii="Arial" w:hAnsi="Arial" w:cs="Arial"/>
          <w:sz w:val="20"/>
          <w:szCs w:val="20"/>
        </w:rPr>
        <w:t>https://doi.org/10.1108/MSCRA-03-2025-0016</w:t>
      </w:r>
    </w:p>
    <w:p w14:paraId="4FA08A43" w14:textId="77777777" w:rsidR="00AD3D30" w:rsidRPr="00AD3D30" w:rsidRDefault="00AD3D30" w:rsidP="00AD3D30">
      <w:pPr>
        <w:pStyle w:val="Compact"/>
        <w:ind w:left="720"/>
        <w:jc w:val="both"/>
        <w:rPr>
          <w:rFonts w:ascii="Arial" w:hAnsi="Arial" w:cs="Arial"/>
          <w:color w:val="000000" w:themeColor="text1"/>
          <w:sz w:val="20"/>
          <w:szCs w:val="20"/>
        </w:rPr>
      </w:pPr>
    </w:p>
    <w:p w14:paraId="1B711CE8" w14:textId="77777777" w:rsidR="005D1369" w:rsidRPr="00AD3D30" w:rsidRDefault="00000000" w:rsidP="00AD3D30">
      <w:pPr>
        <w:pStyle w:val="Compact"/>
        <w:numPr>
          <w:ilvl w:val="0"/>
          <w:numId w:val="2"/>
        </w:numPr>
        <w:jc w:val="both"/>
        <w:rPr>
          <w:rFonts w:ascii="Arial" w:hAnsi="Arial" w:cs="Arial"/>
          <w:color w:val="000000" w:themeColor="text1"/>
          <w:sz w:val="20"/>
          <w:szCs w:val="20"/>
        </w:rPr>
      </w:pPr>
      <w:r w:rsidRPr="00AD3D30">
        <w:rPr>
          <w:rFonts w:ascii="Arial" w:hAnsi="Arial" w:cs="Arial"/>
          <w:b/>
          <w:bCs/>
          <w:color w:val="000000" w:themeColor="text1"/>
          <w:sz w:val="20"/>
          <w:szCs w:val="20"/>
          <w:lang w:val="es-PE"/>
        </w:rPr>
        <w:t>[A10]</w:t>
      </w:r>
      <w:r w:rsidRPr="00AD3D30">
        <w:rPr>
          <w:rFonts w:ascii="Arial" w:hAnsi="Arial" w:cs="Arial"/>
          <w:color w:val="000000" w:themeColor="text1"/>
          <w:sz w:val="20"/>
          <w:szCs w:val="20"/>
          <w:lang w:val="es-PE"/>
        </w:rPr>
        <w:t xml:space="preserve"> </w:t>
      </w:r>
      <w:proofErr w:type="spellStart"/>
      <w:r w:rsidRPr="00AD3D30">
        <w:rPr>
          <w:rFonts w:ascii="Arial" w:hAnsi="Arial" w:cs="Arial"/>
          <w:color w:val="000000" w:themeColor="text1"/>
          <w:sz w:val="20"/>
          <w:szCs w:val="20"/>
          <w:lang w:val="es-PE"/>
        </w:rPr>
        <w:t>Okogwu</w:t>
      </w:r>
      <w:proofErr w:type="spellEnd"/>
      <w:r w:rsidRPr="00AD3D30">
        <w:rPr>
          <w:rFonts w:ascii="Arial" w:hAnsi="Arial" w:cs="Arial"/>
          <w:color w:val="000000" w:themeColor="text1"/>
          <w:sz w:val="20"/>
          <w:szCs w:val="20"/>
          <w:lang w:val="es-PE"/>
        </w:rPr>
        <w:t xml:space="preserve">, C., Agho, M. O., Adeyinka, M. A., </w:t>
      </w:r>
      <w:proofErr w:type="spellStart"/>
      <w:r w:rsidRPr="00AD3D30">
        <w:rPr>
          <w:rFonts w:ascii="Arial" w:hAnsi="Arial" w:cs="Arial"/>
          <w:color w:val="000000" w:themeColor="text1"/>
          <w:sz w:val="20"/>
          <w:szCs w:val="20"/>
          <w:lang w:val="es-PE"/>
        </w:rPr>
        <w:t>Odulaja</w:t>
      </w:r>
      <w:proofErr w:type="spellEnd"/>
      <w:r w:rsidRPr="00AD3D30">
        <w:rPr>
          <w:rFonts w:ascii="Arial" w:hAnsi="Arial" w:cs="Arial"/>
          <w:color w:val="000000" w:themeColor="text1"/>
          <w:sz w:val="20"/>
          <w:szCs w:val="20"/>
          <w:lang w:val="es-PE"/>
        </w:rPr>
        <w:t xml:space="preserve">, B. A., Eyo-Udo, N. L., </w:t>
      </w:r>
      <w:proofErr w:type="spellStart"/>
      <w:r w:rsidRPr="00AD3D30">
        <w:rPr>
          <w:rFonts w:ascii="Arial" w:hAnsi="Arial" w:cs="Arial"/>
          <w:color w:val="000000" w:themeColor="text1"/>
          <w:sz w:val="20"/>
          <w:szCs w:val="20"/>
          <w:lang w:val="es-PE"/>
        </w:rPr>
        <w:t>Daraojimba</w:t>
      </w:r>
      <w:proofErr w:type="spellEnd"/>
      <w:r w:rsidRPr="00AD3D30">
        <w:rPr>
          <w:rFonts w:ascii="Arial" w:hAnsi="Arial" w:cs="Arial"/>
          <w:color w:val="000000" w:themeColor="text1"/>
          <w:sz w:val="20"/>
          <w:szCs w:val="20"/>
          <w:lang w:val="es-PE"/>
        </w:rPr>
        <w:t xml:space="preserve">, C., &amp; </w:t>
      </w:r>
      <w:proofErr w:type="spellStart"/>
      <w:r w:rsidRPr="00AD3D30">
        <w:rPr>
          <w:rFonts w:ascii="Arial" w:hAnsi="Arial" w:cs="Arial"/>
          <w:color w:val="000000" w:themeColor="text1"/>
          <w:sz w:val="20"/>
          <w:szCs w:val="20"/>
          <w:lang w:val="es-PE"/>
        </w:rPr>
        <w:t>Banso</w:t>
      </w:r>
      <w:proofErr w:type="spellEnd"/>
      <w:r w:rsidRPr="00AD3D30">
        <w:rPr>
          <w:rFonts w:ascii="Arial" w:hAnsi="Arial" w:cs="Arial"/>
          <w:color w:val="000000" w:themeColor="text1"/>
          <w:sz w:val="20"/>
          <w:szCs w:val="20"/>
          <w:lang w:val="es-PE"/>
        </w:rPr>
        <w:t xml:space="preserve">, A. A. (2023). </w:t>
      </w:r>
      <w:r w:rsidRPr="00AD3D30">
        <w:rPr>
          <w:rFonts w:ascii="Arial" w:hAnsi="Arial" w:cs="Arial"/>
          <w:color w:val="000000" w:themeColor="text1"/>
          <w:sz w:val="20"/>
          <w:szCs w:val="20"/>
        </w:rPr>
        <w:t xml:space="preserve">Exploring the integration of sustainable materials in supply chain management for environmental impact. </w:t>
      </w:r>
      <w:r w:rsidRPr="00AD3D30">
        <w:rPr>
          <w:rFonts w:ascii="Arial" w:hAnsi="Arial" w:cs="Arial"/>
          <w:i/>
          <w:iCs/>
          <w:color w:val="000000" w:themeColor="text1"/>
          <w:sz w:val="20"/>
          <w:szCs w:val="20"/>
        </w:rPr>
        <w:t>Engineering Science &amp; Technology Journal, 4</w:t>
      </w:r>
      <w:r w:rsidRPr="00AD3D30">
        <w:rPr>
          <w:rFonts w:ascii="Arial" w:hAnsi="Arial" w:cs="Arial"/>
          <w:color w:val="000000" w:themeColor="text1"/>
          <w:sz w:val="20"/>
          <w:szCs w:val="20"/>
        </w:rPr>
        <w:t xml:space="preserve">(3), 49–65. </w:t>
      </w:r>
      <w:r w:rsidRPr="00AD3D30">
        <w:rPr>
          <w:rStyle w:val="Hipervnculo"/>
          <w:rFonts w:ascii="Arial" w:hAnsi="Arial" w:cs="Arial"/>
          <w:sz w:val="20"/>
          <w:szCs w:val="20"/>
        </w:rPr>
        <w:t>https://doi.org/10.51594/estj.v4i3.546</w:t>
      </w:r>
    </w:p>
    <w:p w14:paraId="5D6EB12B" w14:textId="77777777" w:rsidR="005D1369" w:rsidRPr="00AD3D30" w:rsidRDefault="00000000" w:rsidP="00AD3D30">
      <w:pPr>
        <w:pStyle w:val="Ttulo3"/>
        <w:rPr>
          <w:rFonts w:ascii="Arial" w:hAnsi="Arial" w:cs="Arial"/>
          <w:color w:val="000000" w:themeColor="text1"/>
          <w:sz w:val="20"/>
          <w:szCs w:val="20"/>
        </w:rPr>
      </w:pPr>
      <w:bookmarkStart w:id="6" w:name="characterization-of-the-corpus"/>
      <w:bookmarkEnd w:id="5"/>
      <w:r w:rsidRPr="00AD3D30">
        <w:rPr>
          <w:rFonts w:ascii="Arial" w:hAnsi="Arial" w:cs="Arial"/>
          <w:color w:val="000000" w:themeColor="text1"/>
          <w:sz w:val="20"/>
          <w:szCs w:val="20"/>
        </w:rPr>
        <w:t>1.5 Characterization of the corpus</w:t>
      </w:r>
    </w:p>
    <w:p w14:paraId="7A8FA3FF" w14:textId="77777777" w:rsidR="005D1369" w:rsidRPr="00AD3D30" w:rsidRDefault="00000000" w:rsidP="00AD3D30">
      <w:pPr>
        <w:pStyle w:val="FirstParagraph"/>
        <w:rPr>
          <w:rFonts w:ascii="Arial" w:hAnsi="Arial" w:cs="Arial"/>
          <w:color w:val="000000" w:themeColor="text1"/>
          <w:sz w:val="20"/>
          <w:szCs w:val="20"/>
        </w:rPr>
      </w:pPr>
      <w:r w:rsidRPr="00AD3D30">
        <w:rPr>
          <w:rFonts w:ascii="Arial" w:hAnsi="Arial" w:cs="Arial"/>
          <w:color w:val="000000" w:themeColor="text1"/>
          <w:sz w:val="20"/>
          <w:szCs w:val="20"/>
        </w:rPr>
        <w:t>Only two of the ten studies apply machine learning to empirical data (A2, A4), and both work with producers, not importers. “Direct” marks studies that share the thesis’s sector or analytical technique; “Supporting” marks studies that contribute a transferable concept.</w:t>
      </w:r>
    </w:p>
    <w:p w14:paraId="7393649F" w14:textId="7C5A075E" w:rsidR="005D1369" w:rsidRPr="00AD3D30" w:rsidRDefault="00000000" w:rsidP="00AD3D30">
      <w:pPr>
        <w:pStyle w:val="Textoindependiente"/>
        <w:rPr>
          <w:rFonts w:ascii="Arial" w:hAnsi="Arial" w:cs="Arial"/>
          <w:color w:val="000000" w:themeColor="text1"/>
          <w:sz w:val="20"/>
          <w:szCs w:val="20"/>
        </w:rPr>
      </w:pPr>
      <w:r w:rsidRPr="00AD3D30">
        <w:rPr>
          <w:rFonts w:ascii="Arial" w:hAnsi="Arial" w:cs="Arial"/>
          <w:b/>
          <w:bCs/>
          <w:color w:val="000000" w:themeColor="text1"/>
          <w:sz w:val="20"/>
          <w:szCs w:val="20"/>
        </w:rPr>
        <w:t>Table 1.5</w:t>
      </w:r>
    </w:p>
    <w:tbl>
      <w:tblPr>
        <w:tblStyle w:val="Table"/>
        <w:tblW w:w="5000" w:type="pct"/>
        <w:tblLook w:val="0020" w:firstRow="1" w:lastRow="0" w:firstColumn="0" w:lastColumn="0" w:noHBand="0" w:noVBand="0"/>
      </w:tblPr>
      <w:tblGrid>
        <w:gridCol w:w="573"/>
        <w:gridCol w:w="1434"/>
        <w:gridCol w:w="1728"/>
        <w:gridCol w:w="1631"/>
        <w:gridCol w:w="1609"/>
        <w:gridCol w:w="895"/>
        <w:gridCol w:w="1184"/>
      </w:tblGrid>
      <w:tr w:rsidR="005D1369" w:rsidRPr="00AD3D30" w14:paraId="4A07DA91" w14:textId="77777777" w:rsidTr="005D1369">
        <w:trPr>
          <w:cnfStyle w:val="100000000000" w:firstRow="1" w:lastRow="0" w:firstColumn="0" w:lastColumn="0" w:oddVBand="0" w:evenVBand="0" w:oddHBand="0" w:evenHBand="0" w:firstRowFirstColumn="0" w:firstRowLastColumn="0" w:lastRowFirstColumn="0" w:lastRowLastColumn="0"/>
          <w:tblHeader/>
        </w:trPr>
        <w:tc>
          <w:tcPr>
            <w:tcW w:w="0" w:type="auto"/>
          </w:tcPr>
          <w:p w14:paraId="788812AE"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ID</w:t>
            </w:r>
          </w:p>
        </w:tc>
        <w:tc>
          <w:tcPr>
            <w:tcW w:w="0" w:type="auto"/>
          </w:tcPr>
          <w:p w14:paraId="1741A535"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Design</w:t>
            </w:r>
          </w:p>
        </w:tc>
        <w:tc>
          <w:tcPr>
            <w:tcW w:w="0" w:type="auto"/>
          </w:tcPr>
          <w:p w14:paraId="4C6BAFCE"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Method</w:t>
            </w:r>
          </w:p>
        </w:tc>
        <w:tc>
          <w:tcPr>
            <w:tcW w:w="0" w:type="auto"/>
          </w:tcPr>
          <w:p w14:paraId="5A444B99"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Data or sample</w:t>
            </w:r>
          </w:p>
        </w:tc>
        <w:tc>
          <w:tcPr>
            <w:tcW w:w="0" w:type="auto"/>
          </w:tcPr>
          <w:p w14:paraId="09151DA7"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Context</w:t>
            </w:r>
          </w:p>
        </w:tc>
        <w:tc>
          <w:tcPr>
            <w:tcW w:w="0" w:type="auto"/>
          </w:tcPr>
          <w:p w14:paraId="0A1F46D2"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Stream</w:t>
            </w:r>
          </w:p>
        </w:tc>
        <w:tc>
          <w:tcPr>
            <w:tcW w:w="0" w:type="auto"/>
          </w:tcPr>
          <w:p w14:paraId="6CEC8DC6"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Fit</w:t>
            </w:r>
          </w:p>
        </w:tc>
      </w:tr>
      <w:tr w:rsidR="005D1369" w:rsidRPr="00AD3D30" w14:paraId="1B8FCF75" w14:textId="77777777">
        <w:tc>
          <w:tcPr>
            <w:tcW w:w="0" w:type="auto"/>
          </w:tcPr>
          <w:p w14:paraId="2A58CD69"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A1</w:t>
            </w:r>
          </w:p>
        </w:tc>
        <w:tc>
          <w:tcPr>
            <w:tcW w:w="0" w:type="auto"/>
          </w:tcPr>
          <w:p w14:paraId="2BCCFBBB"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Systematic review + bibliometric</w:t>
            </w:r>
          </w:p>
        </w:tc>
        <w:tc>
          <w:tcPr>
            <w:tcW w:w="0" w:type="auto"/>
          </w:tcPr>
          <w:p w14:paraId="71E1EC74"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PRISMA 2020 screening, content analysis</w:t>
            </w:r>
          </w:p>
        </w:tc>
        <w:tc>
          <w:tcPr>
            <w:tcW w:w="0" w:type="auto"/>
          </w:tcPr>
          <w:p w14:paraId="03390ED6"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96 articles (Scopus)</w:t>
            </w:r>
          </w:p>
        </w:tc>
        <w:tc>
          <w:tcPr>
            <w:tcW w:w="0" w:type="auto"/>
          </w:tcPr>
          <w:p w14:paraId="3EFAE269"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Global, cross-sector</w:t>
            </w:r>
          </w:p>
        </w:tc>
        <w:tc>
          <w:tcPr>
            <w:tcW w:w="0" w:type="auto"/>
          </w:tcPr>
          <w:p w14:paraId="39CCB89A"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3</w:t>
            </w:r>
          </w:p>
        </w:tc>
        <w:tc>
          <w:tcPr>
            <w:tcW w:w="0" w:type="auto"/>
          </w:tcPr>
          <w:p w14:paraId="7DD2D059"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Direct</w:t>
            </w:r>
          </w:p>
        </w:tc>
      </w:tr>
      <w:tr w:rsidR="005D1369" w:rsidRPr="00AD3D30" w14:paraId="650D7B7A" w14:textId="77777777">
        <w:tc>
          <w:tcPr>
            <w:tcW w:w="0" w:type="auto"/>
          </w:tcPr>
          <w:p w14:paraId="77168F58"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A2</w:t>
            </w:r>
          </w:p>
        </w:tc>
        <w:tc>
          <w:tcPr>
            <w:tcW w:w="0" w:type="auto"/>
          </w:tcPr>
          <w:p w14:paraId="37862CFD"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Quantitative</w:t>
            </w:r>
          </w:p>
        </w:tc>
        <w:tc>
          <w:tcPr>
            <w:tcW w:w="0" w:type="auto"/>
          </w:tcPr>
          <w:p w14:paraId="3178AFDE"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Panel econometrics + XGBoost + SHAP</w:t>
            </w:r>
          </w:p>
        </w:tc>
        <w:tc>
          <w:tcPr>
            <w:tcW w:w="0" w:type="auto"/>
          </w:tcPr>
          <w:p w14:paraId="7DFF95D6"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11 countries, 2009–2023</w:t>
            </w:r>
          </w:p>
        </w:tc>
        <w:tc>
          <w:tcPr>
            <w:tcW w:w="0" w:type="auto"/>
          </w:tcPr>
          <w:p w14:paraId="512429CD"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Europe, chemical wood pulp</w:t>
            </w:r>
          </w:p>
        </w:tc>
        <w:tc>
          <w:tcPr>
            <w:tcW w:w="0" w:type="auto"/>
          </w:tcPr>
          <w:p w14:paraId="73648F7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1 and 3</w:t>
            </w:r>
          </w:p>
        </w:tc>
        <w:tc>
          <w:tcPr>
            <w:tcW w:w="0" w:type="auto"/>
          </w:tcPr>
          <w:p w14:paraId="73DFA017"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Direct</w:t>
            </w:r>
          </w:p>
        </w:tc>
      </w:tr>
      <w:tr w:rsidR="005D1369" w:rsidRPr="00AD3D30" w14:paraId="2F3ECB8D" w14:textId="77777777">
        <w:tc>
          <w:tcPr>
            <w:tcW w:w="0" w:type="auto"/>
          </w:tcPr>
          <w:p w14:paraId="5146F187"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A3</w:t>
            </w:r>
          </w:p>
        </w:tc>
        <w:tc>
          <w:tcPr>
            <w:tcW w:w="0" w:type="auto"/>
          </w:tcPr>
          <w:p w14:paraId="29ACABB3"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Systematic review</w:t>
            </w:r>
          </w:p>
        </w:tc>
        <w:tc>
          <w:tcPr>
            <w:tcW w:w="0" w:type="auto"/>
          </w:tcPr>
          <w:p w14:paraId="6043BBD4"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PRISMA, bibliometric and content analysis</w:t>
            </w:r>
          </w:p>
        </w:tc>
        <w:tc>
          <w:tcPr>
            <w:tcW w:w="0" w:type="auto"/>
          </w:tcPr>
          <w:p w14:paraId="2189B10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Web of Science and Scopus records</w:t>
            </w:r>
          </w:p>
        </w:tc>
        <w:tc>
          <w:tcPr>
            <w:tcW w:w="0" w:type="auto"/>
          </w:tcPr>
          <w:p w14:paraId="3A57FF94"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Global, industrial systems</w:t>
            </w:r>
          </w:p>
        </w:tc>
        <w:tc>
          <w:tcPr>
            <w:tcW w:w="0" w:type="auto"/>
          </w:tcPr>
          <w:p w14:paraId="5CF49B8B"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w:t>
            </w:r>
          </w:p>
        </w:tc>
        <w:tc>
          <w:tcPr>
            <w:tcW w:w="0" w:type="auto"/>
          </w:tcPr>
          <w:p w14:paraId="2F0007FA"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Supporting</w:t>
            </w:r>
          </w:p>
        </w:tc>
      </w:tr>
      <w:tr w:rsidR="005D1369" w:rsidRPr="00AD3D30" w14:paraId="0CA5832E" w14:textId="77777777">
        <w:tc>
          <w:tcPr>
            <w:tcW w:w="0" w:type="auto"/>
          </w:tcPr>
          <w:p w14:paraId="1713AFE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A4</w:t>
            </w:r>
          </w:p>
        </w:tc>
        <w:tc>
          <w:tcPr>
            <w:tcW w:w="0" w:type="auto"/>
          </w:tcPr>
          <w:p w14:paraId="694EDB12"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Quantitative</w:t>
            </w:r>
          </w:p>
        </w:tc>
        <w:tc>
          <w:tcPr>
            <w:tcW w:w="0" w:type="auto"/>
          </w:tcPr>
          <w:p w14:paraId="1137324F"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Hierarchical clustering + AHP + BWM</w:t>
            </w:r>
          </w:p>
        </w:tc>
        <w:tc>
          <w:tcPr>
            <w:tcW w:w="0" w:type="auto"/>
          </w:tcPr>
          <w:p w14:paraId="0D91C257"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20 experts; one furniture manufacturer</w:t>
            </w:r>
          </w:p>
        </w:tc>
        <w:tc>
          <w:tcPr>
            <w:tcW w:w="0" w:type="auto"/>
          </w:tcPr>
          <w:p w14:paraId="2BD93B94"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Middle East (UAE), wood supply chain</w:t>
            </w:r>
          </w:p>
        </w:tc>
        <w:tc>
          <w:tcPr>
            <w:tcW w:w="0" w:type="auto"/>
          </w:tcPr>
          <w:p w14:paraId="47CF6A8B"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 and 3</w:t>
            </w:r>
          </w:p>
        </w:tc>
        <w:tc>
          <w:tcPr>
            <w:tcW w:w="0" w:type="auto"/>
          </w:tcPr>
          <w:p w14:paraId="7B371ECC"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Direct</w:t>
            </w:r>
          </w:p>
        </w:tc>
      </w:tr>
      <w:tr w:rsidR="005D1369" w:rsidRPr="00AD3D30" w14:paraId="3E538150" w14:textId="77777777">
        <w:tc>
          <w:tcPr>
            <w:tcW w:w="0" w:type="auto"/>
          </w:tcPr>
          <w:p w14:paraId="44A633FB"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A5</w:t>
            </w:r>
          </w:p>
        </w:tc>
        <w:tc>
          <w:tcPr>
            <w:tcW w:w="0" w:type="auto"/>
          </w:tcPr>
          <w:p w14:paraId="37250DD5"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 xml:space="preserve">Literature </w:t>
            </w:r>
            <w:r w:rsidRPr="00AD3D30">
              <w:rPr>
                <w:rFonts w:ascii="Arial" w:hAnsi="Arial" w:cs="Arial"/>
                <w:color w:val="000000" w:themeColor="text1"/>
                <w:sz w:val="20"/>
                <w:szCs w:val="20"/>
              </w:rPr>
              <w:lastRenderedPageBreak/>
              <w:t>review</w:t>
            </w:r>
          </w:p>
        </w:tc>
        <w:tc>
          <w:tcPr>
            <w:tcW w:w="0" w:type="auto"/>
          </w:tcPr>
          <w:p w14:paraId="23908291"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lastRenderedPageBreak/>
              <w:t xml:space="preserve">Review of ML </w:t>
            </w:r>
            <w:r w:rsidRPr="00AD3D30">
              <w:rPr>
                <w:rFonts w:ascii="Arial" w:hAnsi="Arial" w:cs="Arial"/>
                <w:color w:val="000000" w:themeColor="text1"/>
                <w:sz w:val="20"/>
                <w:szCs w:val="20"/>
              </w:rPr>
              <w:lastRenderedPageBreak/>
              <w:t>applied to LCA</w:t>
            </w:r>
          </w:p>
        </w:tc>
        <w:tc>
          <w:tcPr>
            <w:tcW w:w="0" w:type="auto"/>
          </w:tcPr>
          <w:p w14:paraId="79EDB483"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lastRenderedPageBreak/>
              <w:t xml:space="preserve">81 primary </w:t>
            </w:r>
            <w:r w:rsidRPr="00AD3D30">
              <w:rPr>
                <w:rFonts w:ascii="Arial" w:hAnsi="Arial" w:cs="Arial"/>
                <w:color w:val="000000" w:themeColor="text1"/>
                <w:sz w:val="20"/>
                <w:szCs w:val="20"/>
              </w:rPr>
              <w:lastRenderedPageBreak/>
              <w:t>papers, 2000–2021</w:t>
            </w:r>
          </w:p>
        </w:tc>
        <w:tc>
          <w:tcPr>
            <w:tcW w:w="0" w:type="auto"/>
          </w:tcPr>
          <w:p w14:paraId="2F32FC81"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lastRenderedPageBreak/>
              <w:t xml:space="preserve">Built </w:t>
            </w:r>
            <w:r w:rsidRPr="00AD3D30">
              <w:rPr>
                <w:rFonts w:ascii="Arial" w:hAnsi="Arial" w:cs="Arial"/>
                <w:color w:val="000000" w:themeColor="text1"/>
                <w:sz w:val="20"/>
                <w:szCs w:val="20"/>
              </w:rPr>
              <w:lastRenderedPageBreak/>
              <w:t>environment</w:t>
            </w:r>
          </w:p>
        </w:tc>
        <w:tc>
          <w:tcPr>
            <w:tcW w:w="0" w:type="auto"/>
          </w:tcPr>
          <w:p w14:paraId="520D9E87"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lastRenderedPageBreak/>
              <w:t>1 and 3</w:t>
            </w:r>
          </w:p>
        </w:tc>
        <w:tc>
          <w:tcPr>
            <w:tcW w:w="0" w:type="auto"/>
          </w:tcPr>
          <w:p w14:paraId="6F878DB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Direct</w:t>
            </w:r>
          </w:p>
        </w:tc>
      </w:tr>
      <w:tr w:rsidR="005D1369" w:rsidRPr="00AD3D30" w14:paraId="5515FCF2" w14:textId="77777777">
        <w:tc>
          <w:tcPr>
            <w:tcW w:w="0" w:type="auto"/>
          </w:tcPr>
          <w:p w14:paraId="2494B4F4"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A6</w:t>
            </w:r>
          </w:p>
        </w:tc>
        <w:tc>
          <w:tcPr>
            <w:tcW w:w="0" w:type="auto"/>
          </w:tcPr>
          <w:p w14:paraId="77EEB4C7"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Quantitative</w:t>
            </w:r>
          </w:p>
        </w:tc>
        <w:tc>
          <w:tcPr>
            <w:tcW w:w="0" w:type="auto"/>
          </w:tcPr>
          <w:p w14:paraId="1B9A22B7"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Fuzzy Delphi + SWARA + F-WASPAS</w:t>
            </w:r>
          </w:p>
        </w:tc>
        <w:tc>
          <w:tcPr>
            <w:tcW w:w="0" w:type="auto"/>
          </w:tcPr>
          <w:p w14:paraId="03329A08"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3 experts; one focal firm</w:t>
            </w:r>
          </w:p>
        </w:tc>
        <w:tc>
          <w:tcPr>
            <w:tcW w:w="0" w:type="auto"/>
          </w:tcPr>
          <w:p w14:paraId="474BC653"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Iran, cable and equipment supply chain</w:t>
            </w:r>
          </w:p>
        </w:tc>
        <w:tc>
          <w:tcPr>
            <w:tcW w:w="0" w:type="auto"/>
          </w:tcPr>
          <w:p w14:paraId="41043872"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w:t>
            </w:r>
          </w:p>
        </w:tc>
        <w:tc>
          <w:tcPr>
            <w:tcW w:w="0" w:type="auto"/>
          </w:tcPr>
          <w:p w14:paraId="59F6332C"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Supporting</w:t>
            </w:r>
          </w:p>
        </w:tc>
      </w:tr>
      <w:tr w:rsidR="005D1369" w:rsidRPr="00AD3D30" w14:paraId="451EA801" w14:textId="77777777">
        <w:tc>
          <w:tcPr>
            <w:tcW w:w="0" w:type="auto"/>
          </w:tcPr>
          <w:p w14:paraId="4795A136"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A7</w:t>
            </w:r>
          </w:p>
        </w:tc>
        <w:tc>
          <w:tcPr>
            <w:tcW w:w="0" w:type="auto"/>
          </w:tcPr>
          <w:p w14:paraId="52567187"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Systematic review + framework</w:t>
            </w:r>
          </w:p>
        </w:tc>
        <w:tc>
          <w:tcPr>
            <w:tcW w:w="0" w:type="auto"/>
          </w:tcPr>
          <w:p w14:paraId="594E2ADF"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Tranfield protocol, content analysis, research agenda</w:t>
            </w:r>
          </w:p>
        </w:tc>
        <w:tc>
          <w:tcPr>
            <w:tcW w:w="0" w:type="auto"/>
          </w:tcPr>
          <w:p w14:paraId="26CF9D42"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Megaproject sustainability literature</w:t>
            </w:r>
          </w:p>
        </w:tc>
        <w:tc>
          <w:tcPr>
            <w:tcW w:w="0" w:type="auto"/>
          </w:tcPr>
          <w:p w14:paraId="05D0A434"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Global, megaprojects</w:t>
            </w:r>
          </w:p>
        </w:tc>
        <w:tc>
          <w:tcPr>
            <w:tcW w:w="0" w:type="auto"/>
          </w:tcPr>
          <w:p w14:paraId="30380D59"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w:t>
            </w:r>
          </w:p>
        </w:tc>
        <w:tc>
          <w:tcPr>
            <w:tcW w:w="0" w:type="auto"/>
          </w:tcPr>
          <w:p w14:paraId="7164DA7B"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Supporting</w:t>
            </w:r>
          </w:p>
        </w:tc>
      </w:tr>
      <w:tr w:rsidR="005D1369" w:rsidRPr="00AD3D30" w14:paraId="4A911BD3" w14:textId="77777777">
        <w:tc>
          <w:tcPr>
            <w:tcW w:w="0" w:type="auto"/>
          </w:tcPr>
          <w:p w14:paraId="44200A0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A8</w:t>
            </w:r>
          </w:p>
        </w:tc>
        <w:tc>
          <w:tcPr>
            <w:tcW w:w="0" w:type="auto"/>
          </w:tcPr>
          <w:p w14:paraId="1C2C8176"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Conceptual</w:t>
            </w:r>
          </w:p>
        </w:tc>
        <w:tc>
          <w:tcPr>
            <w:tcW w:w="0" w:type="auto"/>
          </w:tcPr>
          <w:p w14:paraId="726F4F13"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Layered decision architecture (theory-building synthesis)</w:t>
            </w:r>
          </w:p>
        </w:tc>
        <w:tc>
          <w:tcPr>
            <w:tcW w:w="0" w:type="auto"/>
          </w:tcPr>
          <w:p w14:paraId="3339897C"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141 publications</w:t>
            </w:r>
          </w:p>
        </w:tc>
        <w:tc>
          <w:tcPr>
            <w:tcW w:w="0" w:type="auto"/>
          </w:tcPr>
          <w:p w14:paraId="415C1E02"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Global, construction supply chains</w:t>
            </w:r>
          </w:p>
        </w:tc>
        <w:tc>
          <w:tcPr>
            <w:tcW w:w="0" w:type="auto"/>
          </w:tcPr>
          <w:p w14:paraId="05F802E7"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w:t>
            </w:r>
          </w:p>
        </w:tc>
        <w:tc>
          <w:tcPr>
            <w:tcW w:w="0" w:type="auto"/>
          </w:tcPr>
          <w:p w14:paraId="16941909"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Supporting</w:t>
            </w:r>
          </w:p>
        </w:tc>
      </w:tr>
      <w:tr w:rsidR="005D1369" w:rsidRPr="00AD3D30" w14:paraId="1F863B85" w14:textId="77777777">
        <w:tc>
          <w:tcPr>
            <w:tcW w:w="0" w:type="auto"/>
          </w:tcPr>
          <w:p w14:paraId="3BE55847"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A9</w:t>
            </w:r>
          </w:p>
        </w:tc>
        <w:tc>
          <w:tcPr>
            <w:tcW w:w="0" w:type="auto"/>
          </w:tcPr>
          <w:p w14:paraId="68786179"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Quantitative</w:t>
            </w:r>
          </w:p>
        </w:tc>
        <w:tc>
          <w:tcPr>
            <w:tcW w:w="0" w:type="auto"/>
          </w:tcPr>
          <w:p w14:paraId="6D405C4F"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Chance-constrained goal programming + VaR</w:t>
            </w:r>
          </w:p>
        </w:tc>
        <w:tc>
          <w:tcPr>
            <w:tcW w:w="0" w:type="auto"/>
          </w:tcPr>
          <w:p w14:paraId="59223E7B"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Supplier selection, German car manufacturer</w:t>
            </w:r>
          </w:p>
        </w:tc>
        <w:tc>
          <w:tcPr>
            <w:tcW w:w="0" w:type="auto"/>
          </w:tcPr>
          <w:p w14:paraId="11C3D139"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Europe, automotive</w:t>
            </w:r>
          </w:p>
        </w:tc>
        <w:tc>
          <w:tcPr>
            <w:tcW w:w="0" w:type="auto"/>
          </w:tcPr>
          <w:p w14:paraId="203E37B3"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w:t>
            </w:r>
          </w:p>
        </w:tc>
        <w:tc>
          <w:tcPr>
            <w:tcW w:w="0" w:type="auto"/>
          </w:tcPr>
          <w:p w14:paraId="0DEB8627"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Supporting</w:t>
            </w:r>
          </w:p>
        </w:tc>
      </w:tr>
      <w:tr w:rsidR="005D1369" w:rsidRPr="00AD3D30" w14:paraId="7CC6AC3F" w14:textId="77777777">
        <w:tc>
          <w:tcPr>
            <w:tcW w:w="0" w:type="auto"/>
          </w:tcPr>
          <w:p w14:paraId="7BA61D6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A10</w:t>
            </w:r>
          </w:p>
        </w:tc>
        <w:tc>
          <w:tcPr>
            <w:tcW w:w="0" w:type="auto"/>
          </w:tcPr>
          <w:p w14:paraId="2EC1F7B1"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Conceptual</w:t>
            </w:r>
          </w:p>
        </w:tc>
        <w:tc>
          <w:tcPr>
            <w:tcW w:w="0" w:type="auto"/>
          </w:tcPr>
          <w:p w14:paraId="6248190A"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Integrative review of sustainable materials</w:t>
            </w:r>
          </w:p>
        </w:tc>
        <w:tc>
          <w:tcPr>
            <w:tcW w:w="0" w:type="auto"/>
          </w:tcPr>
          <w:p w14:paraId="02F5896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Supply chain management literature</w:t>
            </w:r>
          </w:p>
        </w:tc>
        <w:tc>
          <w:tcPr>
            <w:tcW w:w="0" w:type="auto"/>
          </w:tcPr>
          <w:p w14:paraId="20A3DB34"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Global, cross-sector</w:t>
            </w:r>
          </w:p>
        </w:tc>
        <w:tc>
          <w:tcPr>
            <w:tcW w:w="0" w:type="auto"/>
          </w:tcPr>
          <w:p w14:paraId="491D1DA1"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w:t>
            </w:r>
          </w:p>
        </w:tc>
        <w:tc>
          <w:tcPr>
            <w:tcW w:w="0" w:type="auto"/>
          </w:tcPr>
          <w:p w14:paraId="7D067BC2"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Supporting</w:t>
            </w:r>
          </w:p>
        </w:tc>
      </w:tr>
    </w:tbl>
    <w:p w14:paraId="4B85D1A6" w14:textId="77777777" w:rsidR="00201D85" w:rsidRDefault="00201D85" w:rsidP="00AD3D30">
      <w:pPr>
        <w:pStyle w:val="Textoindependiente"/>
        <w:rPr>
          <w:rFonts w:ascii="Arial" w:hAnsi="Arial" w:cs="Arial"/>
          <w:b/>
          <w:bCs/>
          <w:color w:val="000000" w:themeColor="text1"/>
          <w:sz w:val="20"/>
          <w:szCs w:val="20"/>
        </w:rPr>
      </w:pPr>
    </w:p>
    <w:p w14:paraId="3F0AA7B5" w14:textId="24D99DC2" w:rsidR="005D1369" w:rsidRPr="00AD3D30" w:rsidRDefault="00000000" w:rsidP="00201D85">
      <w:pPr>
        <w:pStyle w:val="Textoindependiente"/>
        <w:jc w:val="both"/>
        <w:rPr>
          <w:rFonts w:ascii="Arial" w:hAnsi="Arial" w:cs="Arial"/>
          <w:color w:val="000000" w:themeColor="text1"/>
          <w:sz w:val="20"/>
          <w:szCs w:val="20"/>
        </w:rPr>
      </w:pPr>
      <w:r w:rsidRPr="00AD3D30">
        <w:rPr>
          <w:rFonts w:ascii="Arial" w:hAnsi="Arial" w:cs="Arial"/>
          <w:b/>
          <w:bCs/>
          <w:color w:val="000000" w:themeColor="text1"/>
          <w:sz w:val="20"/>
          <w:szCs w:val="20"/>
        </w:rPr>
        <w:t>Direct vs. Supporting.</w:t>
      </w:r>
      <w:r w:rsidRPr="00AD3D30">
        <w:rPr>
          <w:rFonts w:ascii="Arial" w:hAnsi="Arial" w:cs="Arial"/>
          <w:color w:val="000000" w:themeColor="text1"/>
          <w:sz w:val="20"/>
          <w:szCs w:val="20"/>
        </w:rPr>
        <w:t xml:space="preserve"> Four articles are Direct (A1, A2, A4, A5) and six are Supporting (A3, A6, A7, A8, A9, A10). The Direct studies share the thesis’s sector (pulp, paper and wood) or its analytical core (ML, clustering, XGBoost + SHAP, LCA). The Supporting studies are retained because each </w:t>
      </w:r>
      <w:proofErr w:type="gramStart"/>
      <w:r w:rsidRPr="00AD3D30">
        <w:rPr>
          <w:rFonts w:ascii="Arial" w:hAnsi="Arial" w:cs="Arial"/>
          <w:color w:val="000000" w:themeColor="text1"/>
          <w:sz w:val="20"/>
          <w:szCs w:val="20"/>
        </w:rPr>
        <w:t>meets</w:t>
      </w:r>
      <w:proofErr w:type="gramEnd"/>
      <w:r w:rsidRPr="00AD3D30">
        <w:rPr>
          <w:rFonts w:ascii="Arial" w:hAnsi="Arial" w:cs="Arial"/>
          <w:color w:val="000000" w:themeColor="text1"/>
          <w:sz w:val="20"/>
          <w:szCs w:val="20"/>
        </w:rPr>
        <w:t xml:space="preserve"> CI4 and supplies a concept that the Direct studies lack:</w:t>
      </w:r>
    </w:p>
    <w:p w14:paraId="16D0A3D9" w14:textId="77777777" w:rsidR="005D1369" w:rsidRPr="00AD3D30" w:rsidRDefault="00000000" w:rsidP="00201D85">
      <w:pPr>
        <w:pStyle w:val="Compact"/>
        <w:numPr>
          <w:ilvl w:val="0"/>
          <w:numId w:val="3"/>
        </w:numPr>
        <w:jc w:val="both"/>
        <w:rPr>
          <w:rFonts w:ascii="Arial" w:hAnsi="Arial" w:cs="Arial"/>
          <w:color w:val="000000" w:themeColor="text1"/>
          <w:sz w:val="20"/>
          <w:szCs w:val="20"/>
        </w:rPr>
      </w:pPr>
      <w:r w:rsidRPr="00AD3D30">
        <w:rPr>
          <w:rFonts w:ascii="Arial" w:hAnsi="Arial" w:cs="Arial"/>
          <w:color w:val="000000" w:themeColor="text1"/>
          <w:sz w:val="20"/>
          <w:szCs w:val="20"/>
        </w:rPr>
        <w:t>A3 documents the explainability and human-integration limits of AI in sustainable industrial systems.</w:t>
      </w:r>
    </w:p>
    <w:p w14:paraId="5D2A6E2F" w14:textId="77777777" w:rsidR="005D1369" w:rsidRPr="00AD3D30" w:rsidRDefault="00000000" w:rsidP="00201D85">
      <w:pPr>
        <w:pStyle w:val="Compact"/>
        <w:numPr>
          <w:ilvl w:val="0"/>
          <w:numId w:val="3"/>
        </w:numPr>
        <w:jc w:val="both"/>
        <w:rPr>
          <w:rFonts w:ascii="Arial" w:hAnsi="Arial" w:cs="Arial"/>
          <w:color w:val="000000" w:themeColor="text1"/>
          <w:sz w:val="20"/>
          <w:szCs w:val="20"/>
        </w:rPr>
      </w:pPr>
      <w:r w:rsidRPr="00AD3D30">
        <w:rPr>
          <w:rFonts w:ascii="Arial" w:hAnsi="Arial" w:cs="Arial"/>
          <w:color w:val="000000" w:themeColor="text1"/>
          <w:sz w:val="20"/>
          <w:szCs w:val="20"/>
        </w:rPr>
        <w:t>A6 and A9 model green supplier selection, the firm-level decision behind every import.</w:t>
      </w:r>
    </w:p>
    <w:p w14:paraId="3FD1DD50" w14:textId="77777777" w:rsidR="005D1369" w:rsidRPr="00AD3D30" w:rsidRDefault="00000000" w:rsidP="00201D85">
      <w:pPr>
        <w:pStyle w:val="Compact"/>
        <w:numPr>
          <w:ilvl w:val="0"/>
          <w:numId w:val="3"/>
        </w:numPr>
        <w:jc w:val="both"/>
        <w:rPr>
          <w:rFonts w:ascii="Arial" w:hAnsi="Arial" w:cs="Arial"/>
          <w:color w:val="000000" w:themeColor="text1"/>
          <w:sz w:val="20"/>
          <w:szCs w:val="20"/>
        </w:rPr>
      </w:pPr>
      <w:r w:rsidRPr="00AD3D30">
        <w:rPr>
          <w:rFonts w:ascii="Arial" w:hAnsi="Arial" w:cs="Arial"/>
          <w:color w:val="000000" w:themeColor="text1"/>
          <w:sz w:val="20"/>
          <w:szCs w:val="20"/>
        </w:rPr>
        <w:t>A7 places green procurement on the sustainability research agenda and calls for implementation at national level.</w:t>
      </w:r>
    </w:p>
    <w:p w14:paraId="7124108A" w14:textId="77777777" w:rsidR="005D1369" w:rsidRPr="00AD3D30" w:rsidRDefault="00000000" w:rsidP="00201D85">
      <w:pPr>
        <w:pStyle w:val="Compact"/>
        <w:numPr>
          <w:ilvl w:val="0"/>
          <w:numId w:val="3"/>
        </w:numPr>
        <w:jc w:val="both"/>
        <w:rPr>
          <w:rFonts w:ascii="Arial" w:hAnsi="Arial" w:cs="Arial"/>
          <w:color w:val="000000" w:themeColor="text1"/>
          <w:sz w:val="20"/>
          <w:szCs w:val="20"/>
        </w:rPr>
      </w:pPr>
      <w:r w:rsidRPr="00AD3D30">
        <w:rPr>
          <w:rFonts w:ascii="Arial" w:hAnsi="Arial" w:cs="Arial"/>
          <w:color w:val="000000" w:themeColor="text1"/>
          <w:sz w:val="20"/>
          <w:szCs w:val="20"/>
        </w:rPr>
        <w:t>A8 theorizes how AI can reinforce unsustainable flows (“structural distortion”).</w:t>
      </w:r>
    </w:p>
    <w:p w14:paraId="0F9B6D1B" w14:textId="77777777" w:rsidR="005D1369" w:rsidRPr="00AD3D30" w:rsidRDefault="00000000" w:rsidP="00201D85">
      <w:pPr>
        <w:pStyle w:val="Compact"/>
        <w:numPr>
          <w:ilvl w:val="0"/>
          <w:numId w:val="3"/>
        </w:numPr>
        <w:jc w:val="both"/>
        <w:rPr>
          <w:rFonts w:ascii="Arial" w:hAnsi="Arial" w:cs="Arial"/>
          <w:color w:val="000000" w:themeColor="text1"/>
          <w:sz w:val="20"/>
          <w:szCs w:val="20"/>
        </w:rPr>
      </w:pPr>
      <w:r w:rsidRPr="00AD3D30">
        <w:rPr>
          <w:rFonts w:ascii="Arial" w:hAnsi="Arial" w:cs="Arial"/>
          <w:color w:val="000000" w:themeColor="text1"/>
          <w:sz w:val="20"/>
          <w:szCs w:val="20"/>
        </w:rPr>
        <w:t>A10 frames certification, traceability and green procurement as integration strategies.</w:t>
      </w:r>
    </w:p>
    <w:p w14:paraId="58B558BC" w14:textId="77777777" w:rsidR="005D1369" w:rsidRPr="00AD3D30" w:rsidRDefault="00000000" w:rsidP="00201D85">
      <w:pPr>
        <w:pStyle w:val="FirstParagraph"/>
        <w:jc w:val="both"/>
        <w:rPr>
          <w:rFonts w:ascii="Arial" w:hAnsi="Arial" w:cs="Arial"/>
          <w:color w:val="000000" w:themeColor="text1"/>
          <w:sz w:val="20"/>
          <w:szCs w:val="20"/>
        </w:rPr>
      </w:pPr>
      <w:r w:rsidRPr="00AD3D30">
        <w:rPr>
          <w:rFonts w:ascii="Arial" w:hAnsi="Arial" w:cs="Arial"/>
          <w:color w:val="000000" w:themeColor="text1"/>
          <w:sz w:val="20"/>
          <w:szCs w:val="20"/>
        </w:rPr>
        <w:t>All ten articles are cited at least once in the Gap Analysis Tables (Section 3.1).</w:t>
      </w:r>
    </w:p>
    <w:p w14:paraId="19A11285" w14:textId="77777777" w:rsidR="00201D85" w:rsidRDefault="00201D85" w:rsidP="00AD3D30">
      <w:pPr>
        <w:pStyle w:val="Ttulo2"/>
        <w:rPr>
          <w:rFonts w:ascii="Arial" w:hAnsi="Arial" w:cs="Arial"/>
          <w:color w:val="000000" w:themeColor="text1"/>
          <w:sz w:val="20"/>
          <w:szCs w:val="20"/>
          <w:u w:val="single"/>
        </w:rPr>
      </w:pPr>
      <w:bookmarkStart w:id="7" w:name="component-2-prisma-2020-flow-diagram"/>
      <w:bookmarkEnd w:id="1"/>
      <w:bookmarkEnd w:id="6"/>
    </w:p>
    <w:p w14:paraId="4019F96A" w14:textId="72FBC4A7" w:rsidR="005D1369" w:rsidRPr="00201D85" w:rsidRDefault="00000000" w:rsidP="00AD3D30">
      <w:pPr>
        <w:pStyle w:val="Ttulo2"/>
        <w:rPr>
          <w:rFonts w:ascii="Arial" w:hAnsi="Arial" w:cs="Arial"/>
          <w:color w:val="000000" w:themeColor="text1"/>
          <w:sz w:val="20"/>
          <w:szCs w:val="20"/>
          <w:u w:val="single"/>
        </w:rPr>
      </w:pPr>
      <w:r w:rsidRPr="00201D85">
        <w:rPr>
          <w:rFonts w:ascii="Arial" w:hAnsi="Arial" w:cs="Arial"/>
          <w:color w:val="000000" w:themeColor="text1"/>
          <w:sz w:val="20"/>
          <w:szCs w:val="20"/>
          <w:u w:val="single"/>
        </w:rPr>
        <w:t>Component 2 — PRISMA 2020 flow diagram</w:t>
      </w:r>
    </w:p>
    <w:p w14:paraId="3F823E89" w14:textId="77777777" w:rsidR="005D1369" w:rsidRPr="00AD3D30" w:rsidRDefault="00000000" w:rsidP="00201D85">
      <w:pPr>
        <w:pStyle w:val="FirstParagraph"/>
        <w:jc w:val="both"/>
        <w:rPr>
          <w:rFonts w:ascii="Arial" w:hAnsi="Arial" w:cs="Arial"/>
          <w:color w:val="000000" w:themeColor="text1"/>
          <w:sz w:val="20"/>
          <w:szCs w:val="20"/>
        </w:rPr>
      </w:pPr>
      <w:r w:rsidRPr="00AD3D30">
        <w:rPr>
          <w:rFonts w:ascii="Arial" w:hAnsi="Arial" w:cs="Arial"/>
          <w:color w:val="000000" w:themeColor="text1"/>
          <w:sz w:val="20"/>
          <w:szCs w:val="20"/>
        </w:rPr>
        <w:t>Of 266 records identified, 256 were removed across three steps and 10 were included; the count balances at every phase.</w:t>
      </w:r>
    </w:p>
    <w:p w14:paraId="02A5DE3F" w14:textId="77777777" w:rsidR="005D1369" w:rsidRPr="00AD3D30" w:rsidRDefault="00000000" w:rsidP="00201D85">
      <w:pPr>
        <w:pStyle w:val="Textoindependiente"/>
        <w:jc w:val="both"/>
        <w:rPr>
          <w:rFonts w:ascii="Arial" w:hAnsi="Arial" w:cs="Arial"/>
          <w:color w:val="000000" w:themeColor="text1"/>
          <w:sz w:val="20"/>
          <w:szCs w:val="20"/>
        </w:rPr>
      </w:pPr>
      <w:r w:rsidRPr="00AD3D30">
        <w:rPr>
          <w:rFonts w:ascii="Arial" w:hAnsi="Arial" w:cs="Arial"/>
          <w:color w:val="000000" w:themeColor="text1"/>
          <w:sz w:val="20"/>
          <w:szCs w:val="20"/>
        </w:rPr>
        <w:t>Diagram generated with the official PRISMA 2020 Flow Diagram tool (Haddaway et al., 2022), available at https://estech.shinyapps.io/prisma_flowdiagram/. The four phases are numbered and the arithmetic is consistent: 266 − (6 + 210 + 40) = 10.</w:t>
      </w:r>
    </w:p>
    <w:p w14:paraId="304BCD83" w14:textId="77777777" w:rsidR="005D1369" w:rsidRPr="00AD3D30" w:rsidRDefault="00000000" w:rsidP="00201D85">
      <w:pPr>
        <w:pStyle w:val="Textoindependiente"/>
        <w:jc w:val="both"/>
        <w:rPr>
          <w:rFonts w:ascii="Arial" w:hAnsi="Arial" w:cs="Arial"/>
          <w:color w:val="000000" w:themeColor="text1"/>
          <w:sz w:val="20"/>
          <w:szCs w:val="20"/>
        </w:rPr>
      </w:pPr>
      <w:r w:rsidRPr="00AD3D30">
        <w:rPr>
          <w:rFonts w:ascii="Arial" w:hAnsi="Arial" w:cs="Arial"/>
          <w:b/>
          <w:bCs/>
          <w:color w:val="000000" w:themeColor="text1"/>
          <w:sz w:val="20"/>
          <w:szCs w:val="20"/>
        </w:rPr>
        <w:t>Note on the four phases.</w:t>
      </w:r>
      <w:r w:rsidRPr="00AD3D30">
        <w:rPr>
          <w:rFonts w:ascii="Arial" w:hAnsi="Arial" w:cs="Arial"/>
          <w:color w:val="000000" w:themeColor="text1"/>
          <w:sz w:val="20"/>
          <w:szCs w:val="20"/>
        </w:rPr>
        <w:t xml:space="preserve"> PRISMA 2020 (Page et al., 2021) and the official tool draw three stages: Identification, Screening and Included, with eligibility assessment inside Screening. As the course requires four numbered phases, Table 2.1 and the Mermaid version (Section 2.4) </w:t>
      </w:r>
      <w:proofErr w:type="gramStart"/>
      <w:r w:rsidRPr="00AD3D30">
        <w:rPr>
          <w:rFonts w:ascii="Arial" w:hAnsi="Arial" w:cs="Arial"/>
          <w:color w:val="000000" w:themeColor="text1"/>
          <w:sz w:val="20"/>
          <w:szCs w:val="20"/>
        </w:rPr>
        <w:t>number them</w:t>
      </w:r>
      <w:proofErr w:type="gramEnd"/>
      <w:r w:rsidRPr="00AD3D30">
        <w:rPr>
          <w:rFonts w:ascii="Arial" w:hAnsi="Arial" w:cs="Arial"/>
          <w:color w:val="000000" w:themeColor="text1"/>
          <w:sz w:val="20"/>
          <w:szCs w:val="20"/>
        </w:rPr>
        <w:t xml:space="preserve"> 1 Identification, 2 Screening, 3 Eligibility and 4 Inclusion. Phase 3 corresponds to the lower half of the </w:t>
      </w:r>
      <w:r w:rsidRPr="00AD3D30">
        <w:rPr>
          <w:rFonts w:ascii="Arial" w:hAnsi="Arial" w:cs="Arial"/>
          <w:color w:val="000000" w:themeColor="text1"/>
          <w:sz w:val="20"/>
          <w:szCs w:val="20"/>
        </w:rPr>
        <w:lastRenderedPageBreak/>
        <w:t>tool’s Screening stage (reports sought, assessed and excluded). Corpus article A1 reports its review with the same four stages (Akintayo et al., 2026, p. 3).</w:t>
      </w:r>
    </w:p>
    <w:p w14:paraId="6717DE07" w14:textId="77777777" w:rsidR="005D1369" w:rsidRPr="00AD3D30" w:rsidRDefault="00000000" w:rsidP="00AD3D30">
      <w:pPr>
        <w:pStyle w:val="Textoindependiente"/>
        <w:rPr>
          <w:rFonts w:ascii="Arial" w:hAnsi="Arial" w:cs="Arial"/>
          <w:color w:val="000000" w:themeColor="text1"/>
          <w:sz w:val="20"/>
          <w:szCs w:val="20"/>
        </w:rPr>
      </w:pPr>
      <w:r w:rsidRPr="00AD3D30">
        <w:rPr>
          <w:rFonts w:ascii="Arial" w:hAnsi="Arial" w:cs="Arial"/>
          <w:noProof/>
          <w:color w:val="000000" w:themeColor="text1"/>
          <w:sz w:val="20"/>
          <w:szCs w:val="20"/>
        </w:rPr>
        <w:drawing>
          <wp:inline distT="0" distB="0" distL="0" distR="0" wp14:anchorId="79B55625" wp14:editId="3CB6CD9E">
            <wp:extent cx="5334000" cy="6261652"/>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prisma.png"/>
                    <pic:cNvPicPr>
                      <a:picLocks noChangeAspect="1" noChangeArrowheads="1"/>
                    </pic:cNvPicPr>
                  </pic:nvPicPr>
                  <pic:blipFill>
                    <a:blip r:embed="rId11"/>
                    <a:stretch>
                      <a:fillRect/>
                    </a:stretch>
                  </pic:blipFill>
                  <pic:spPr bwMode="auto">
                    <a:xfrm>
                      <a:off x="0" y="0"/>
                      <a:ext cx="5334000" cy="6261652"/>
                    </a:xfrm>
                    <a:prstGeom prst="rect">
                      <a:avLst/>
                    </a:prstGeom>
                    <a:noFill/>
                    <a:ln w="9525">
                      <a:noFill/>
                      <a:headEnd/>
                      <a:tailEnd/>
                    </a:ln>
                  </pic:spPr>
                </pic:pic>
              </a:graphicData>
            </a:graphic>
          </wp:inline>
        </w:drawing>
      </w:r>
    </w:p>
    <w:p w14:paraId="19AD8F4F" w14:textId="77777777" w:rsidR="005D1369" w:rsidRPr="00AD3D30" w:rsidRDefault="00000000" w:rsidP="00AD3D30">
      <w:pPr>
        <w:pStyle w:val="Textoindependiente"/>
        <w:rPr>
          <w:rFonts w:ascii="Arial" w:hAnsi="Arial" w:cs="Arial"/>
          <w:color w:val="000000" w:themeColor="text1"/>
          <w:sz w:val="20"/>
          <w:szCs w:val="20"/>
        </w:rPr>
      </w:pPr>
      <w:r w:rsidRPr="00AD3D30">
        <w:rPr>
          <w:rFonts w:ascii="Arial" w:hAnsi="Arial" w:cs="Arial"/>
          <w:i/>
          <w:iCs/>
          <w:color w:val="000000" w:themeColor="text1"/>
          <w:sz w:val="20"/>
          <w:szCs w:val="20"/>
        </w:rPr>
        <w:t>Figure 1. PRISMA 2020 flow diagram of the search and screening process (266 → 10 studies). Generated with the official PRISMA 2020 Flow Diagram tool (Haddaway et al., 2022).</w:t>
      </w:r>
    </w:p>
    <w:p w14:paraId="325F783B" w14:textId="77777777" w:rsidR="005D1369" w:rsidRPr="00AD3D30" w:rsidRDefault="00000000" w:rsidP="00AD3D30">
      <w:pPr>
        <w:pStyle w:val="Ttulo3"/>
        <w:rPr>
          <w:rFonts w:ascii="Arial" w:hAnsi="Arial" w:cs="Arial"/>
          <w:color w:val="000000" w:themeColor="text1"/>
          <w:sz w:val="20"/>
          <w:szCs w:val="20"/>
        </w:rPr>
      </w:pPr>
      <w:bookmarkStart w:id="8" w:name="counts-by-phase"/>
      <w:r w:rsidRPr="00AD3D30">
        <w:rPr>
          <w:rFonts w:ascii="Arial" w:hAnsi="Arial" w:cs="Arial"/>
          <w:color w:val="000000" w:themeColor="text1"/>
          <w:sz w:val="20"/>
          <w:szCs w:val="20"/>
        </w:rPr>
        <w:t>2.1 Counts by phase</w:t>
      </w:r>
    </w:p>
    <w:p w14:paraId="1394418F" w14:textId="4BD18CF5" w:rsidR="005D1369" w:rsidRPr="00AD3D30" w:rsidRDefault="00000000" w:rsidP="00AD3D30">
      <w:pPr>
        <w:pStyle w:val="FirstParagraph"/>
        <w:rPr>
          <w:rFonts w:ascii="Arial" w:hAnsi="Arial" w:cs="Arial"/>
          <w:color w:val="000000" w:themeColor="text1"/>
          <w:sz w:val="20"/>
          <w:szCs w:val="20"/>
        </w:rPr>
      </w:pPr>
      <w:r w:rsidRPr="00AD3D30">
        <w:rPr>
          <w:rFonts w:ascii="Arial" w:hAnsi="Arial" w:cs="Arial"/>
          <w:b/>
          <w:bCs/>
          <w:color w:val="000000" w:themeColor="text1"/>
          <w:sz w:val="20"/>
          <w:szCs w:val="20"/>
        </w:rPr>
        <w:t>Table 2.1</w:t>
      </w:r>
    </w:p>
    <w:tbl>
      <w:tblPr>
        <w:tblStyle w:val="Table"/>
        <w:tblW w:w="5000" w:type="pct"/>
        <w:tblLook w:val="0020" w:firstRow="1" w:lastRow="0" w:firstColumn="0" w:lastColumn="0" w:noHBand="0" w:noVBand="0"/>
      </w:tblPr>
      <w:tblGrid>
        <w:gridCol w:w="1757"/>
        <w:gridCol w:w="6656"/>
        <w:gridCol w:w="641"/>
      </w:tblGrid>
      <w:tr w:rsidR="005D1369" w:rsidRPr="00AD3D30" w14:paraId="76E8A3D6" w14:textId="77777777" w:rsidTr="005D1369">
        <w:trPr>
          <w:cnfStyle w:val="100000000000" w:firstRow="1" w:lastRow="0" w:firstColumn="0" w:lastColumn="0" w:oddVBand="0" w:evenVBand="0" w:oddHBand="0" w:evenHBand="0" w:firstRowFirstColumn="0" w:firstRowLastColumn="0" w:lastRowFirstColumn="0" w:lastRowLastColumn="0"/>
          <w:tblHeader/>
        </w:trPr>
        <w:tc>
          <w:tcPr>
            <w:tcW w:w="0" w:type="auto"/>
          </w:tcPr>
          <w:p w14:paraId="39A3C16C"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Phase</w:t>
            </w:r>
          </w:p>
        </w:tc>
        <w:tc>
          <w:tcPr>
            <w:tcW w:w="0" w:type="auto"/>
          </w:tcPr>
          <w:p w14:paraId="5A402818"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PRISMA 2020 box</w:t>
            </w:r>
          </w:p>
        </w:tc>
        <w:tc>
          <w:tcPr>
            <w:tcW w:w="0" w:type="auto"/>
          </w:tcPr>
          <w:p w14:paraId="6A4F1515"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n</w:t>
            </w:r>
          </w:p>
        </w:tc>
      </w:tr>
      <w:tr w:rsidR="005D1369" w:rsidRPr="00AD3D30" w14:paraId="705BDE29" w14:textId="77777777">
        <w:tc>
          <w:tcPr>
            <w:tcW w:w="0" w:type="auto"/>
          </w:tcPr>
          <w:p w14:paraId="55E24772"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1 Identification</w:t>
            </w:r>
          </w:p>
        </w:tc>
        <w:tc>
          <w:tcPr>
            <w:tcW w:w="0" w:type="auto"/>
          </w:tcPr>
          <w:p w14:paraId="64DBC03F"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Records from Semantic Scholar</w:t>
            </w:r>
          </w:p>
        </w:tc>
        <w:tc>
          <w:tcPr>
            <w:tcW w:w="0" w:type="auto"/>
          </w:tcPr>
          <w:p w14:paraId="5D6B16F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250</w:t>
            </w:r>
          </w:p>
        </w:tc>
      </w:tr>
      <w:tr w:rsidR="005D1369" w:rsidRPr="00AD3D30" w14:paraId="12DE151A" w14:textId="77777777">
        <w:tc>
          <w:tcPr>
            <w:tcW w:w="0" w:type="auto"/>
          </w:tcPr>
          <w:p w14:paraId="0F66B718"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1 Identification</w:t>
            </w:r>
          </w:p>
        </w:tc>
        <w:tc>
          <w:tcPr>
            <w:tcW w:w="0" w:type="auto"/>
          </w:tcPr>
          <w:p w14:paraId="728AD248"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Records from Scopus</w:t>
            </w:r>
          </w:p>
        </w:tc>
        <w:tc>
          <w:tcPr>
            <w:tcW w:w="0" w:type="auto"/>
          </w:tcPr>
          <w:p w14:paraId="52B207B2"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16</w:t>
            </w:r>
          </w:p>
        </w:tc>
      </w:tr>
      <w:tr w:rsidR="005D1369" w:rsidRPr="00AD3D30" w14:paraId="2776C199" w14:textId="77777777">
        <w:tc>
          <w:tcPr>
            <w:tcW w:w="0" w:type="auto"/>
          </w:tcPr>
          <w:p w14:paraId="6CDC4D53"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1 Identification</w:t>
            </w:r>
          </w:p>
        </w:tc>
        <w:tc>
          <w:tcPr>
            <w:tcW w:w="0" w:type="auto"/>
          </w:tcPr>
          <w:p w14:paraId="5A8F62E9"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Records identified (N1)</w:t>
            </w:r>
          </w:p>
        </w:tc>
        <w:tc>
          <w:tcPr>
            <w:tcW w:w="0" w:type="auto"/>
          </w:tcPr>
          <w:p w14:paraId="49D264ED"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266</w:t>
            </w:r>
          </w:p>
        </w:tc>
      </w:tr>
      <w:tr w:rsidR="005D1369" w:rsidRPr="00AD3D30" w14:paraId="3922F7D5" w14:textId="77777777">
        <w:tc>
          <w:tcPr>
            <w:tcW w:w="0" w:type="auto"/>
          </w:tcPr>
          <w:p w14:paraId="11EDDAD5"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lastRenderedPageBreak/>
              <w:t>1 Identification</w:t>
            </w:r>
          </w:p>
        </w:tc>
        <w:tc>
          <w:tcPr>
            <w:tcW w:w="0" w:type="auto"/>
          </w:tcPr>
          <w:p w14:paraId="6CF0E575"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Removed before screening: duplicates</w:t>
            </w:r>
          </w:p>
        </w:tc>
        <w:tc>
          <w:tcPr>
            <w:tcW w:w="0" w:type="auto"/>
          </w:tcPr>
          <w:p w14:paraId="709FAFAA"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6</w:t>
            </w:r>
          </w:p>
        </w:tc>
      </w:tr>
      <w:tr w:rsidR="005D1369" w:rsidRPr="00AD3D30" w14:paraId="4007EFAE" w14:textId="77777777">
        <w:tc>
          <w:tcPr>
            <w:tcW w:w="0" w:type="auto"/>
          </w:tcPr>
          <w:p w14:paraId="0D8A6F96"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1 Identification</w:t>
            </w:r>
          </w:p>
        </w:tc>
        <w:tc>
          <w:tcPr>
            <w:tcW w:w="0" w:type="auto"/>
          </w:tcPr>
          <w:p w14:paraId="12E792BB"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Removed before screening: automation tools or other reasons</w:t>
            </w:r>
          </w:p>
        </w:tc>
        <w:tc>
          <w:tcPr>
            <w:tcW w:w="0" w:type="auto"/>
          </w:tcPr>
          <w:p w14:paraId="58F4BD1D"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0</w:t>
            </w:r>
          </w:p>
        </w:tc>
      </w:tr>
      <w:tr w:rsidR="005D1369" w:rsidRPr="00AD3D30" w14:paraId="30460512" w14:textId="77777777">
        <w:tc>
          <w:tcPr>
            <w:tcW w:w="0" w:type="auto"/>
          </w:tcPr>
          <w:p w14:paraId="0B82C081"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 Screening</w:t>
            </w:r>
          </w:p>
        </w:tc>
        <w:tc>
          <w:tcPr>
            <w:tcW w:w="0" w:type="auto"/>
          </w:tcPr>
          <w:p w14:paraId="321FC39F"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Records screened on title and abstract</w:t>
            </w:r>
          </w:p>
        </w:tc>
        <w:tc>
          <w:tcPr>
            <w:tcW w:w="0" w:type="auto"/>
          </w:tcPr>
          <w:p w14:paraId="07A06B6E"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260</w:t>
            </w:r>
          </w:p>
        </w:tc>
      </w:tr>
      <w:tr w:rsidR="005D1369" w:rsidRPr="00AD3D30" w14:paraId="02CBFF04" w14:textId="77777777">
        <w:tc>
          <w:tcPr>
            <w:tcW w:w="0" w:type="auto"/>
          </w:tcPr>
          <w:p w14:paraId="093D6087"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 Screening</w:t>
            </w:r>
          </w:p>
        </w:tc>
        <w:tc>
          <w:tcPr>
            <w:tcW w:w="0" w:type="auto"/>
          </w:tcPr>
          <w:p w14:paraId="12ACDE7B"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Records excluded on title and abstract (CI1–CI4 not met)</w:t>
            </w:r>
          </w:p>
        </w:tc>
        <w:tc>
          <w:tcPr>
            <w:tcW w:w="0" w:type="auto"/>
          </w:tcPr>
          <w:p w14:paraId="0CDFDA72"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210</w:t>
            </w:r>
          </w:p>
        </w:tc>
      </w:tr>
      <w:tr w:rsidR="005D1369" w:rsidRPr="00AD3D30" w14:paraId="194E9C95" w14:textId="77777777">
        <w:tc>
          <w:tcPr>
            <w:tcW w:w="0" w:type="auto"/>
          </w:tcPr>
          <w:p w14:paraId="6702E763"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3 Eligibility</w:t>
            </w:r>
          </w:p>
        </w:tc>
        <w:tc>
          <w:tcPr>
            <w:tcW w:w="0" w:type="auto"/>
          </w:tcPr>
          <w:p w14:paraId="75739DE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Reports sought for retrieval</w:t>
            </w:r>
          </w:p>
        </w:tc>
        <w:tc>
          <w:tcPr>
            <w:tcW w:w="0" w:type="auto"/>
          </w:tcPr>
          <w:p w14:paraId="6F7C9435"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50</w:t>
            </w:r>
          </w:p>
        </w:tc>
      </w:tr>
      <w:tr w:rsidR="005D1369" w:rsidRPr="00AD3D30" w14:paraId="407347BB" w14:textId="77777777">
        <w:tc>
          <w:tcPr>
            <w:tcW w:w="0" w:type="auto"/>
          </w:tcPr>
          <w:p w14:paraId="77D9C62F"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3 Eligibility</w:t>
            </w:r>
          </w:p>
        </w:tc>
        <w:tc>
          <w:tcPr>
            <w:tcW w:w="0" w:type="auto"/>
          </w:tcPr>
          <w:p w14:paraId="7894F2E8"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Reports not retrieved</w:t>
            </w:r>
          </w:p>
        </w:tc>
        <w:tc>
          <w:tcPr>
            <w:tcW w:w="0" w:type="auto"/>
          </w:tcPr>
          <w:p w14:paraId="0537959C"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0</w:t>
            </w:r>
          </w:p>
        </w:tc>
      </w:tr>
      <w:tr w:rsidR="005D1369" w:rsidRPr="00AD3D30" w14:paraId="4C55A03B" w14:textId="77777777">
        <w:tc>
          <w:tcPr>
            <w:tcW w:w="0" w:type="auto"/>
          </w:tcPr>
          <w:p w14:paraId="2193A468"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3 Eligibility</w:t>
            </w:r>
          </w:p>
        </w:tc>
        <w:tc>
          <w:tcPr>
            <w:tcW w:w="0" w:type="auto"/>
          </w:tcPr>
          <w:p w14:paraId="3816EA98"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Reports assessed at full text</w:t>
            </w:r>
          </w:p>
        </w:tc>
        <w:tc>
          <w:tcPr>
            <w:tcW w:w="0" w:type="auto"/>
          </w:tcPr>
          <w:p w14:paraId="6232A7A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50</w:t>
            </w:r>
          </w:p>
        </w:tc>
      </w:tr>
      <w:tr w:rsidR="005D1369" w:rsidRPr="00AD3D30" w14:paraId="598BDF2F" w14:textId="77777777">
        <w:tc>
          <w:tcPr>
            <w:tcW w:w="0" w:type="auto"/>
          </w:tcPr>
          <w:p w14:paraId="0BF0E1FC"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3 Eligibility</w:t>
            </w:r>
          </w:p>
        </w:tc>
        <w:tc>
          <w:tcPr>
            <w:tcW w:w="0" w:type="auto"/>
          </w:tcPr>
          <w:p w14:paraId="331A3F43"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Reports excluded at full text, with reasons</w:t>
            </w:r>
          </w:p>
        </w:tc>
        <w:tc>
          <w:tcPr>
            <w:tcW w:w="0" w:type="auto"/>
          </w:tcPr>
          <w:p w14:paraId="10F9C875"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40</w:t>
            </w:r>
          </w:p>
        </w:tc>
      </w:tr>
      <w:tr w:rsidR="005D1369" w:rsidRPr="00AD3D30" w14:paraId="60ED9400" w14:textId="77777777">
        <w:tc>
          <w:tcPr>
            <w:tcW w:w="0" w:type="auto"/>
          </w:tcPr>
          <w:p w14:paraId="65FDEE21"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4 Inclusion</w:t>
            </w:r>
          </w:p>
        </w:tc>
        <w:tc>
          <w:tcPr>
            <w:tcW w:w="0" w:type="auto"/>
          </w:tcPr>
          <w:p w14:paraId="59A562F2"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Studies included in review</w:t>
            </w:r>
          </w:p>
        </w:tc>
        <w:tc>
          <w:tcPr>
            <w:tcW w:w="0" w:type="auto"/>
          </w:tcPr>
          <w:p w14:paraId="38D1BA87"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10</w:t>
            </w:r>
          </w:p>
        </w:tc>
      </w:tr>
    </w:tbl>
    <w:p w14:paraId="43EF31DF" w14:textId="77777777" w:rsidR="005D1369" w:rsidRPr="00AD3D30" w:rsidRDefault="00000000" w:rsidP="00AD3D30">
      <w:pPr>
        <w:pStyle w:val="Ttulo3"/>
        <w:rPr>
          <w:rFonts w:ascii="Arial" w:hAnsi="Arial" w:cs="Arial"/>
          <w:color w:val="000000" w:themeColor="text1"/>
          <w:sz w:val="20"/>
          <w:szCs w:val="20"/>
        </w:rPr>
      </w:pPr>
      <w:bookmarkStart w:id="9" w:name="full-text-exclusion-reasons-n-40"/>
      <w:bookmarkEnd w:id="8"/>
      <w:r w:rsidRPr="00AD3D30">
        <w:rPr>
          <w:rFonts w:ascii="Arial" w:hAnsi="Arial" w:cs="Arial"/>
          <w:color w:val="000000" w:themeColor="text1"/>
          <w:sz w:val="20"/>
          <w:szCs w:val="20"/>
        </w:rPr>
        <w:t>2.2 Full-text exclusion reasons (n = 40)</w:t>
      </w:r>
    </w:p>
    <w:p w14:paraId="4A591AEB" w14:textId="5E2C0B29" w:rsidR="005D1369" w:rsidRPr="00AD3D30" w:rsidRDefault="00000000" w:rsidP="00AD3D30">
      <w:pPr>
        <w:pStyle w:val="FirstParagraph"/>
        <w:rPr>
          <w:rFonts w:ascii="Arial" w:hAnsi="Arial" w:cs="Arial"/>
          <w:color w:val="000000" w:themeColor="text1"/>
          <w:sz w:val="20"/>
          <w:szCs w:val="20"/>
        </w:rPr>
      </w:pPr>
      <w:r w:rsidRPr="00AD3D30">
        <w:rPr>
          <w:rFonts w:ascii="Arial" w:hAnsi="Arial" w:cs="Arial"/>
          <w:b/>
          <w:bCs/>
          <w:color w:val="000000" w:themeColor="text1"/>
          <w:sz w:val="20"/>
          <w:szCs w:val="20"/>
        </w:rPr>
        <w:t>Table 2.2</w:t>
      </w:r>
    </w:p>
    <w:tbl>
      <w:tblPr>
        <w:tblStyle w:val="Table"/>
        <w:tblW w:w="5000" w:type="pct"/>
        <w:tblLook w:val="0020" w:firstRow="1" w:lastRow="0" w:firstColumn="0" w:lastColumn="0" w:noHBand="0" w:noVBand="0"/>
      </w:tblPr>
      <w:tblGrid>
        <w:gridCol w:w="718"/>
        <w:gridCol w:w="7895"/>
        <w:gridCol w:w="441"/>
      </w:tblGrid>
      <w:tr w:rsidR="005D1369" w:rsidRPr="00AD3D30" w14:paraId="63806352" w14:textId="77777777" w:rsidTr="005D1369">
        <w:trPr>
          <w:cnfStyle w:val="100000000000" w:firstRow="1" w:lastRow="0" w:firstColumn="0" w:lastColumn="0" w:oddVBand="0" w:evenVBand="0" w:oddHBand="0" w:evenHBand="0" w:firstRowFirstColumn="0" w:firstRowLastColumn="0" w:lastRowFirstColumn="0" w:lastRowLastColumn="0"/>
          <w:tblHeader/>
        </w:trPr>
        <w:tc>
          <w:tcPr>
            <w:tcW w:w="0" w:type="auto"/>
          </w:tcPr>
          <w:p w14:paraId="576A7A38"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Code</w:t>
            </w:r>
          </w:p>
        </w:tc>
        <w:tc>
          <w:tcPr>
            <w:tcW w:w="0" w:type="auto"/>
          </w:tcPr>
          <w:p w14:paraId="2ADF8FCF"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Reason for exclusion</w:t>
            </w:r>
          </w:p>
        </w:tc>
        <w:tc>
          <w:tcPr>
            <w:tcW w:w="0" w:type="auto"/>
          </w:tcPr>
          <w:p w14:paraId="5D9CCD64"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n</w:t>
            </w:r>
          </w:p>
        </w:tc>
      </w:tr>
      <w:tr w:rsidR="005D1369" w:rsidRPr="00AD3D30" w14:paraId="75D18C23" w14:textId="77777777">
        <w:tc>
          <w:tcPr>
            <w:tcW w:w="0" w:type="auto"/>
          </w:tcPr>
          <w:p w14:paraId="4F6F3381"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CE4</w:t>
            </w:r>
          </w:p>
        </w:tc>
        <w:tc>
          <w:tcPr>
            <w:tcW w:w="0" w:type="auto"/>
          </w:tcPr>
          <w:p w14:paraId="7817B939"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Process-engineering or technical study with no supply-chain, trade or procurement link</w:t>
            </w:r>
          </w:p>
        </w:tc>
        <w:tc>
          <w:tcPr>
            <w:tcW w:w="0" w:type="auto"/>
          </w:tcPr>
          <w:p w14:paraId="4129A5FC"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13</w:t>
            </w:r>
          </w:p>
        </w:tc>
      </w:tr>
      <w:tr w:rsidR="005D1369" w:rsidRPr="00AD3D30" w14:paraId="1FBA3C75" w14:textId="77777777">
        <w:tc>
          <w:tcPr>
            <w:tcW w:w="0" w:type="auto"/>
          </w:tcPr>
          <w:p w14:paraId="02FA0185"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CE5</w:t>
            </w:r>
          </w:p>
        </w:tc>
        <w:tc>
          <w:tcPr>
            <w:tcW w:w="0" w:type="auto"/>
          </w:tcPr>
          <w:p w14:paraId="4C1906E2"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ML or AI applied to trade or logistics with no sustainability dimension</w:t>
            </w:r>
          </w:p>
        </w:tc>
        <w:tc>
          <w:tcPr>
            <w:tcW w:w="0" w:type="auto"/>
          </w:tcPr>
          <w:p w14:paraId="7729F573"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9</w:t>
            </w:r>
          </w:p>
        </w:tc>
      </w:tr>
      <w:tr w:rsidR="005D1369" w:rsidRPr="00AD3D30" w14:paraId="6C633108" w14:textId="77777777">
        <w:tc>
          <w:tcPr>
            <w:tcW w:w="0" w:type="auto"/>
          </w:tcPr>
          <w:p w14:paraId="46AE1BC3"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CE1</w:t>
            </w:r>
          </w:p>
        </w:tc>
        <w:tc>
          <w:tcPr>
            <w:tcW w:w="0" w:type="auto"/>
          </w:tcPr>
          <w:p w14:paraId="206BD7B7"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Not a peer-reviewed journal article (conference paper, chapter, thesis or preprint)</w:t>
            </w:r>
          </w:p>
        </w:tc>
        <w:tc>
          <w:tcPr>
            <w:tcW w:w="0" w:type="auto"/>
          </w:tcPr>
          <w:p w14:paraId="643F5315"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7</w:t>
            </w:r>
          </w:p>
        </w:tc>
      </w:tr>
      <w:tr w:rsidR="005D1369" w:rsidRPr="00AD3D30" w14:paraId="619E07BC" w14:textId="77777777">
        <w:tc>
          <w:tcPr>
            <w:tcW w:w="0" w:type="auto"/>
          </w:tcPr>
          <w:p w14:paraId="345CE908"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CE6</w:t>
            </w:r>
          </w:p>
        </w:tc>
        <w:tc>
          <w:tcPr>
            <w:tcW w:w="0" w:type="auto"/>
          </w:tcPr>
          <w:p w14:paraId="6B64ABC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Insufficient methodological reporting</w:t>
            </w:r>
          </w:p>
        </w:tc>
        <w:tc>
          <w:tcPr>
            <w:tcW w:w="0" w:type="auto"/>
          </w:tcPr>
          <w:p w14:paraId="101DC868"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6</w:t>
            </w:r>
          </w:p>
        </w:tc>
      </w:tr>
      <w:tr w:rsidR="005D1369" w:rsidRPr="00AD3D30" w14:paraId="1C143648" w14:textId="77777777">
        <w:tc>
          <w:tcPr>
            <w:tcW w:w="0" w:type="auto"/>
          </w:tcPr>
          <w:p w14:paraId="069B9BDB"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CE8</w:t>
            </w:r>
          </w:p>
        </w:tc>
        <w:tc>
          <w:tcPr>
            <w:tcW w:w="0" w:type="auto"/>
          </w:tcPr>
          <w:p w14:paraId="1AB6CAE5"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Duplicate content or overlapping version of a study already assessed</w:t>
            </w:r>
          </w:p>
        </w:tc>
        <w:tc>
          <w:tcPr>
            <w:tcW w:w="0" w:type="auto"/>
          </w:tcPr>
          <w:p w14:paraId="71927EB7"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5</w:t>
            </w:r>
          </w:p>
        </w:tc>
      </w:tr>
      <w:tr w:rsidR="005D1369" w:rsidRPr="00AD3D30" w14:paraId="040ACA7D" w14:textId="77777777">
        <w:tc>
          <w:tcPr>
            <w:tcW w:w="0" w:type="auto"/>
          </w:tcPr>
          <w:p w14:paraId="4E732F1D"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w:t>
            </w:r>
          </w:p>
        </w:tc>
        <w:tc>
          <w:tcPr>
            <w:tcW w:w="0" w:type="auto"/>
          </w:tcPr>
          <w:p w14:paraId="33E345E6"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b/>
                <w:bCs/>
                <w:color w:val="000000" w:themeColor="text1"/>
                <w:sz w:val="20"/>
                <w:szCs w:val="20"/>
              </w:rPr>
              <w:t>Total</w:t>
            </w:r>
          </w:p>
        </w:tc>
        <w:tc>
          <w:tcPr>
            <w:tcW w:w="0" w:type="auto"/>
          </w:tcPr>
          <w:p w14:paraId="30FD64A5"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b/>
                <w:bCs/>
                <w:color w:val="000000" w:themeColor="text1"/>
                <w:sz w:val="20"/>
                <w:szCs w:val="20"/>
              </w:rPr>
              <w:t>40</w:t>
            </w:r>
          </w:p>
        </w:tc>
      </w:tr>
    </w:tbl>
    <w:p w14:paraId="782F75A7" w14:textId="77777777" w:rsidR="005D1369" w:rsidRPr="00AD3D30" w:rsidRDefault="00000000" w:rsidP="00AD3D30">
      <w:pPr>
        <w:pStyle w:val="Ttulo3"/>
        <w:rPr>
          <w:rFonts w:ascii="Arial" w:hAnsi="Arial" w:cs="Arial"/>
          <w:color w:val="000000" w:themeColor="text1"/>
          <w:sz w:val="20"/>
          <w:szCs w:val="20"/>
        </w:rPr>
      </w:pPr>
      <w:bookmarkStart w:id="10" w:name="arithmetic-check"/>
      <w:bookmarkEnd w:id="9"/>
      <w:r w:rsidRPr="00AD3D30">
        <w:rPr>
          <w:rFonts w:ascii="Arial" w:hAnsi="Arial" w:cs="Arial"/>
          <w:color w:val="000000" w:themeColor="text1"/>
          <w:sz w:val="20"/>
          <w:szCs w:val="20"/>
        </w:rPr>
        <w:t>2.3 Arithmetic check</w:t>
      </w:r>
    </w:p>
    <w:p w14:paraId="4FC18339" w14:textId="6E28F370" w:rsidR="005D1369" w:rsidRPr="00AD3D30" w:rsidRDefault="00000000" w:rsidP="00AD3D30">
      <w:pPr>
        <w:pStyle w:val="FirstParagraph"/>
        <w:rPr>
          <w:rFonts w:ascii="Arial" w:hAnsi="Arial" w:cs="Arial"/>
          <w:color w:val="000000" w:themeColor="text1"/>
          <w:sz w:val="20"/>
          <w:szCs w:val="20"/>
        </w:rPr>
      </w:pPr>
      <w:r w:rsidRPr="00AD3D30">
        <w:rPr>
          <w:rFonts w:ascii="Arial" w:hAnsi="Arial" w:cs="Arial"/>
          <w:b/>
          <w:bCs/>
          <w:color w:val="000000" w:themeColor="text1"/>
          <w:sz w:val="20"/>
          <w:szCs w:val="20"/>
        </w:rPr>
        <w:t>Table 2.3</w:t>
      </w:r>
    </w:p>
    <w:tbl>
      <w:tblPr>
        <w:tblStyle w:val="Table"/>
        <w:tblW w:w="0" w:type="auto"/>
        <w:tblLook w:val="0020" w:firstRow="1" w:lastRow="0" w:firstColumn="0" w:lastColumn="0" w:noHBand="0" w:noVBand="0"/>
      </w:tblPr>
      <w:tblGrid>
        <w:gridCol w:w="1506"/>
        <w:gridCol w:w="2996"/>
        <w:gridCol w:w="828"/>
      </w:tblGrid>
      <w:tr w:rsidR="005D1369" w:rsidRPr="00AD3D30" w14:paraId="56B71C15" w14:textId="77777777" w:rsidTr="005D1369">
        <w:trPr>
          <w:cnfStyle w:val="100000000000" w:firstRow="1" w:lastRow="0" w:firstColumn="0" w:lastColumn="0" w:oddVBand="0" w:evenVBand="0" w:oddHBand="0" w:evenHBand="0" w:firstRowFirstColumn="0" w:firstRowLastColumn="0" w:lastRowFirstColumn="0" w:lastRowLastColumn="0"/>
          <w:tblHeader/>
        </w:trPr>
        <w:tc>
          <w:tcPr>
            <w:tcW w:w="0" w:type="auto"/>
          </w:tcPr>
          <w:p w14:paraId="4DD40FC7"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Phase</w:t>
            </w:r>
          </w:p>
        </w:tc>
        <w:tc>
          <w:tcPr>
            <w:tcW w:w="0" w:type="auto"/>
          </w:tcPr>
          <w:p w14:paraId="5B6E189D"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Operation</w:t>
            </w:r>
          </w:p>
        </w:tc>
        <w:tc>
          <w:tcPr>
            <w:tcW w:w="0" w:type="auto"/>
          </w:tcPr>
          <w:p w14:paraId="29B31847"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Result</w:t>
            </w:r>
          </w:p>
        </w:tc>
      </w:tr>
      <w:tr w:rsidR="005D1369" w:rsidRPr="00AD3D30" w14:paraId="037C6535" w14:textId="77777777">
        <w:tc>
          <w:tcPr>
            <w:tcW w:w="0" w:type="auto"/>
          </w:tcPr>
          <w:p w14:paraId="49BD25A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1 Identification</w:t>
            </w:r>
          </w:p>
        </w:tc>
        <w:tc>
          <w:tcPr>
            <w:tcW w:w="0" w:type="auto"/>
          </w:tcPr>
          <w:p w14:paraId="7859365A"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250 + 16 = 266; then 266 − 6</w:t>
            </w:r>
          </w:p>
        </w:tc>
        <w:tc>
          <w:tcPr>
            <w:tcW w:w="0" w:type="auto"/>
          </w:tcPr>
          <w:p w14:paraId="118702A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260</w:t>
            </w:r>
          </w:p>
        </w:tc>
      </w:tr>
      <w:tr w:rsidR="005D1369" w:rsidRPr="00AD3D30" w14:paraId="62B8ED9D" w14:textId="77777777">
        <w:tc>
          <w:tcPr>
            <w:tcW w:w="0" w:type="auto"/>
          </w:tcPr>
          <w:p w14:paraId="564354C1"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 Screening</w:t>
            </w:r>
          </w:p>
        </w:tc>
        <w:tc>
          <w:tcPr>
            <w:tcW w:w="0" w:type="auto"/>
          </w:tcPr>
          <w:p w14:paraId="70175A49"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260 − 210</w:t>
            </w:r>
          </w:p>
        </w:tc>
        <w:tc>
          <w:tcPr>
            <w:tcW w:w="0" w:type="auto"/>
          </w:tcPr>
          <w:p w14:paraId="4AEF8B1E"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50</w:t>
            </w:r>
          </w:p>
        </w:tc>
      </w:tr>
      <w:tr w:rsidR="005D1369" w:rsidRPr="00AD3D30" w14:paraId="35A2029E" w14:textId="77777777">
        <w:tc>
          <w:tcPr>
            <w:tcW w:w="0" w:type="auto"/>
          </w:tcPr>
          <w:p w14:paraId="6B809991"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3 Eligibility</w:t>
            </w:r>
          </w:p>
        </w:tc>
        <w:tc>
          <w:tcPr>
            <w:tcW w:w="0" w:type="auto"/>
          </w:tcPr>
          <w:p w14:paraId="3F904158"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50 − 0 − 40 (13 + 9 + 7 + 6 + 5)</w:t>
            </w:r>
          </w:p>
        </w:tc>
        <w:tc>
          <w:tcPr>
            <w:tcW w:w="0" w:type="auto"/>
          </w:tcPr>
          <w:p w14:paraId="1C279594"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10</w:t>
            </w:r>
          </w:p>
        </w:tc>
      </w:tr>
      <w:tr w:rsidR="005D1369" w:rsidRPr="00AD3D30" w14:paraId="70634A28" w14:textId="77777777">
        <w:tc>
          <w:tcPr>
            <w:tcW w:w="0" w:type="auto"/>
          </w:tcPr>
          <w:p w14:paraId="234B358D"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4 Inclusion</w:t>
            </w:r>
          </w:p>
        </w:tc>
        <w:tc>
          <w:tcPr>
            <w:tcW w:w="0" w:type="auto"/>
          </w:tcPr>
          <w:p w14:paraId="17522702"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Studies included</w:t>
            </w:r>
          </w:p>
        </w:tc>
        <w:tc>
          <w:tcPr>
            <w:tcW w:w="0" w:type="auto"/>
          </w:tcPr>
          <w:p w14:paraId="45AF47D3"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10</w:t>
            </w:r>
          </w:p>
        </w:tc>
      </w:tr>
    </w:tbl>
    <w:p w14:paraId="04156127" w14:textId="341006F9" w:rsidR="005D1369" w:rsidRPr="00AD3D30" w:rsidRDefault="00201D85" w:rsidP="00AD3D30">
      <w:pPr>
        <w:pStyle w:val="Textoindependiente"/>
        <w:rPr>
          <w:rFonts w:ascii="Arial" w:hAnsi="Arial" w:cs="Arial"/>
          <w:color w:val="000000" w:themeColor="text1"/>
          <w:sz w:val="20"/>
          <w:szCs w:val="20"/>
        </w:rPr>
      </w:pPr>
      <w:r>
        <w:rPr>
          <w:rFonts w:ascii="Arial" w:hAnsi="Arial" w:cs="Arial"/>
          <w:b/>
          <w:bCs/>
          <w:color w:val="000000" w:themeColor="text1"/>
          <w:sz w:val="20"/>
          <w:szCs w:val="20"/>
        </w:rPr>
        <w:br/>
      </w:r>
      <w:r w:rsidR="00000000" w:rsidRPr="00AD3D30">
        <w:rPr>
          <w:rFonts w:ascii="Arial" w:hAnsi="Arial" w:cs="Arial"/>
          <w:color w:val="000000" w:themeColor="text1"/>
          <w:sz w:val="20"/>
          <w:szCs w:val="20"/>
        </w:rPr>
        <w:t xml:space="preserve">Global check, Identified − Excluded = Included: </w:t>
      </w:r>
      <w:r w:rsidR="00000000" w:rsidRPr="00AD3D30">
        <w:rPr>
          <w:rFonts w:ascii="Arial" w:hAnsi="Arial" w:cs="Arial"/>
          <w:b/>
          <w:bCs/>
          <w:color w:val="000000" w:themeColor="text1"/>
          <w:sz w:val="20"/>
          <w:szCs w:val="20"/>
        </w:rPr>
        <w:t>266 − (6 + 210 + 40) = 266 − 256 = 10.</w:t>
      </w:r>
    </w:p>
    <w:p w14:paraId="433CBEFA" w14:textId="77777777" w:rsidR="005D1369" w:rsidRPr="00AD3D30" w:rsidRDefault="00000000" w:rsidP="00AD3D30">
      <w:pPr>
        <w:pStyle w:val="Ttulo3"/>
        <w:rPr>
          <w:rFonts w:ascii="Arial" w:hAnsi="Arial" w:cs="Arial"/>
          <w:color w:val="000000" w:themeColor="text1"/>
          <w:sz w:val="20"/>
          <w:szCs w:val="20"/>
        </w:rPr>
      </w:pPr>
      <w:bookmarkStart w:id="11" w:name="diagram-as-code-mermaid"/>
      <w:bookmarkEnd w:id="10"/>
      <w:r w:rsidRPr="00AD3D30">
        <w:rPr>
          <w:rFonts w:ascii="Arial" w:hAnsi="Arial" w:cs="Arial"/>
          <w:color w:val="000000" w:themeColor="text1"/>
          <w:sz w:val="20"/>
          <w:szCs w:val="20"/>
        </w:rPr>
        <w:t>2.4 Diagram as code (Mermaid)</w:t>
      </w:r>
    </w:p>
    <w:p w14:paraId="0C77644D" w14:textId="77777777" w:rsidR="005D1369" w:rsidRPr="00AD3D30" w:rsidRDefault="00000000" w:rsidP="00AD3D30">
      <w:pPr>
        <w:pStyle w:val="FirstParagraph"/>
        <w:rPr>
          <w:rFonts w:ascii="Arial" w:hAnsi="Arial" w:cs="Arial"/>
          <w:color w:val="000000" w:themeColor="text1"/>
          <w:sz w:val="20"/>
          <w:szCs w:val="20"/>
        </w:rPr>
      </w:pPr>
      <w:r w:rsidRPr="00AD3D30">
        <w:rPr>
          <w:rFonts w:ascii="Arial" w:hAnsi="Arial" w:cs="Arial"/>
          <w:color w:val="000000" w:themeColor="text1"/>
          <w:sz w:val="20"/>
          <w:szCs w:val="20"/>
        </w:rPr>
        <w:t>The Mermaid version below is complementary: it reproduces the counts of Figure 1 in the course’s four numbered phases for version control and reuse, but it is not a substitute for the official PRISMA 2020 tool output. It can be rendered at https://mermaid.live.</w:t>
      </w:r>
    </w:p>
    <w:p w14:paraId="1E8D21E7" w14:textId="77777777" w:rsidR="00201D85" w:rsidRDefault="00201D85" w:rsidP="00AD3D30">
      <w:pPr>
        <w:pStyle w:val="SourceCode"/>
        <w:rPr>
          <w:rStyle w:val="VerbatimChar"/>
          <w:rFonts w:ascii="Arial" w:hAnsi="Arial" w:cs="Arial"/>
          <w:color w:val="000000" w:themeColor="text1"/>
          <w:sz w:val="20"/>
          <w:szCs w:val="20"/>
        </w:rPr>
      </w:pPr>
    </w:p>
    <w:p w14:paraId="5B4F8B87" w14:textId="65E85EE3" w:rsidR="005D1369" w:rsidRPr="00AD3D30" w:rsidRDefault="00000000" w:rsidP="00AD3D30">
      <w:pPr>
        <w:pStyle w:val="SourceCode"/>
        <w:rPr>
          <w:rFonts w:ascii="Arial" w:hAnsi="Arial" w:cs="Arial"/>
          <w:color w:val="000000" w:themeColor="text1"/>
          <w:sz w:val="20"/>
          <w:szCs w:val="20"/>
        </w:rPr>
      </w:pPr>
      <w:r w:rsidRPr="00AD3D30">
        <w:rPr>
          <w:rStyle w:val="VerbatimChar"/>
          <w:rFonts w:ascii="Arial" w:hAnsi="Arial" w:cs="Arial"/>
          <w:color w:val="000000" w:themeColor="text1"/>
          <w:sz w:val="20"/>
          <w:szCs w:val="20"/>
        </w:rPr>
        <w:t>flowchart TD</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subgraph </w:t>
      </w:r>
      <w:proofErr w:type="gramStart"/>
      <w:r w:rsidRPr="00AD3D30">
        <w:rPr>
          <w:rStyle w:val="VerbatimChar"/>
          <w:rFonts w:ascii="Arial" w:hAnsi="Arial" w:cs="Arial"/>
          <w:color w:val="000000" w:themeColor="text1"/>
          <w:sz w:val="20"/>
          <w:szCs w:val="20"/>
        </w:rPr>
        <w:t>P1["</w:t>
      </w:r>
      <w:proofErr w:type="gramEnd"/>
      <w:r w:rsidRPr="00AD3D30">
        <w:rPr>
          <w:rStyle w:val="VerbatimChar"/>
          <w:rFonts w:ascii="Arial" w:hAnsi="Arial" w:cs="Arial"/>
          <w:color w:val="000000" w:themeColor="text1"/>
          <w:sz w:val="20"/>
          <w:szCs w:val="20"/>
        </w:rPr>
        <w:t>1. IDENTIFICATION"]</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w:t>
      </w:r>
      <w:proofErr w:type="gramStart"/>
      <w:r w:rsidRPr="00AD3D30">
        <w:rPr>
          <w:rStyle w:val="VerbatimChar"/>
          <w:rFonts w:ascii="Arial" w:hAnsi="Arial" w:cs="Arial"/>
          <w:color w:val="000000" w:themeColor="text1"/>
          <w:sz w:val="20"/>
          <w:szCs w:val="20"/>
        </w:rPr>
        <w:t>A[</w:t>
      </w:r>
      <w:proofErr w:type="gramEnd"/>
      <w:r w:rsidRPr="00AD3D30">
        <w:rPr>
          <w:rStyle w:val="VerbatimChar"/>
          <w:rFonts w:ascii="Arial" w:hAnsi="Arial" w:cs="Arial"/>
          <w:color w:val="000000" w:themeColor="text1"/>
          <w:sz w:val="20"/>
          <w:szCs w:val="20"/>
        </w:rPr>
        <w:t xml:space="preserve">"Records identified from databases (n = </w:t>
      </w:r>
      <w:proofErr w:type="gramStart"/>
      <w:r w:rsidRPr="00AD3D30">
        <w:rPr>
          <w:rStyle w:val="VerbatimChar"/>
          <w:rFonts w:ascii="Arial" w:hAnsi="Arial" w:cs="Arial"/>
          <w:color w:val="000000" w:themeColor="text1"/>
          <w:sz w:val="20"/>
          <w:szCs w:val="20"/>
        </w:rPr>
        <w:t>266)&lt;</w:t>
      </w:r>
      <w:proofErr w:type="gramEnd"/>
      <w:r w:rsidRPr="00AD3D30">
        <w:rPr>
          <w:rStyle w:val="VerbatimChar"/>
          <w:rFonts w:ascii="Arial" w:hAnsi="Arial" w:cs="Arial"/>
          <w:color w:val="000000" w:themeColor="text1"/>
          <w:sz w:val="20"/>
          <w:szCs w:val="20"/>
        </w:rPr>
        <w:t xml:space="preserve">br/&gt;Semantic Scholar (n = </w:t>
      </w:r>
      <w:proofErr w:type="gramStart"/>
      <w:r w:rsidRPr="00AD3D30">
        <w:rPr>
          <w:rStyle w:val="VerbatimChar"/>
          <w:rFonts w:ascii="Arial" w:hAnsi="Arial" w:cs="Arial"/>
          <w:color w:val="000000" w:themeColor="text1"/>
          <w:sz w:val="20"/>
          <w:szCs w:val="20"/>
        </w:rPr>
        <w:t>250)&lt;</w:t>
      </w:r>
      <w:proofErr w:type="gramEnd"/>
      <w:r w:rsidRPr="00AD3D30">
        <w:rPr>
          <w:rStyle w:val="VerbatimChar"/>
          <w:rFonts w:ascii="Arial" w:hAnsi="Arial" w:cs="Arial"/>
          <w:color w:val="000000" w:themeColor="text1"/>
          <w:sz w:val="20"/>
          <w:szCs w:val="20"/>
        </w:rPr>
        <w:t xml:space="preserve">br/&gt;Scopus (n = </w:t>
      </w:r>
      <w:proofErr w:type="gramStart"/>
      <w:r w:rsidRPr="00AD3D30">
        <w:rPr>
          <w:rStyle w:val="VerbatimChar"/>
          <w:rFonts w:ascii="Arial" w:hAnsi="Arial" w:cs="Arial"/>
          <w:color w:val="000000" w:themeColor="text1"/>
          <w:sz w:val="20"/>
          <w:szCs w:val="20"/>
        </w:rPr>
        <w:t>16)&lt;</w:t>
      </w:r>
      <w:proofErr w:type="gramEnd"/>
      <w:r w:rsidRPr="00AD3D30">
        <w:rPr>
          <w:rStyle w:val="VerbatimChar"/>
          <w:rFonts w:ascii="Arial" w:hAnsi="Arial" w:cs="Arial"/>
          <w:color w:val="000000" w:themeColor="text1"/>
          <w:sz w:val="20"/>
          <w:szCs w:val="20"/>
        </w:rPr>
        <w:t>br/&gt;Registers (n = 0)"]</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A2["Records removed before screening&lt;br/&gt;Duplicate records (n = </w:t>
      </w:r>
      <w:proofErr w:type="gramStart"/>
      <w:r w:rsidRPr="00AD3D30">
        <w:rPr>
          <w:rStyle w:val="VerbatimChar"/>
          <w:rFonts w:ascii="Arial" w:hAnsi="Arial" w:cs="Arial"/>
          <w:color w:val="000000" w:themeColor="text1"/>
          <w:sz w:val="20"/>
          <w:szCs w:val="20"/>
        </w:rPr>
        <w:t>6)&lt;</w:t>
      </w:r>
      <w:proofErr w:type="gramEnd"/>
      <w:r w:rsidRPr="00AD3D30">
        <w:rPr>
          <w:rStyle w:val="VerbatimChar"/>
          <w:rFonts w:ascii="Arial" w:hAnsi="Arial" w:cs="Arial"/>
          <w:color w:val="000000" w:themeColor="text1"/>
          <w:sz w:val="20"/>
          <w:szCs w:val="20"/>
        </w:rPr>
        <w:t xml:space="preserve">br/&gt;Automation tools (n = </w:t>
      </w:r>
      <w:proofErr w:type="gramStart"/>
      <w:r w:rsidRPr="00AD3D30">
        <w:rPr>
          <w:rStyle w:val="VerbatimChar"/>
          <w:rFonts w:ascii="Arial" w:hAnsi="Arial" w:cs="Arial"/>
          <w:color w:val="000000" w:themeColor="text1"/>
          <w:sz w:val="20"/>
          <w:szCs w:val="20"/>
        </w:rPr>
        <w:t>0)&lt;</w:t>
      </w:r>
      <w:proofErr w:type="gramEnd"/>
      <w:r w:rsidRPr="00AD3D30">
        <w:rPr>
          <w:rStyle w:val="VerbatimChar"/>
          <w:rFonts w:ascii="Arial" w:hAnsi="Arial" w:cs="Arial"/>
          <w:color w:val="000000" w:themeColor="text1"/>
          <w:sz w:val="20"/>
          <w:szCs w:val="20"/>
        </w:rPr>
        <w:t>br/&gt;Other reasons (n = 0)"]</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end</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subgraph P2["2. SCREENING"]</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w:t>
      </w:r>
      <w:proofErr w:type="gramStart"/>
      <w:r w:rsidRPr="00AD3D30">
        <w:rPr>
          <w:rStyle w:val="VerbatimChar"/>
          <w:rFonts w:ascii="Arial" w:hAnsi="Arial" w:cs="Arial"/>
          <w:color w:val="000000" w:themeColor="text1"/>
          <w:sz w:val="20"/>
          <w:szCs w:val="20"/>
        </w:rPr>
        <w:t>B[</w:t>
      </w:r>
      <w:proofErr w:type="gramEnd"/>
      <w:r w:rsidRPr="00AD3D30">
        <w:rPr>
          <w:rStyle w:val="VerbatimChar"/>
          <w:rFonts w:ascii="Arial" w:hAnsi="Arial" w:cs="Arial"/>
          <w:color w:val="000000" w:themeColor="text1"/>
          <w:sz w:val="20"/>
          <w:szCs w:val="20"/>
        </w:rPr>
        <w:t>"Records screened on title/abstract (n = 260)"]</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lastRenderedPageBreak/>
        <w:t xml:space="preserve">        B2["Records excluded (n = </w:t>
      </w:r>
      <w:proofErr w:type="gramStart"/>
      <w:r w:rsidRPr="00AD3D30">
        <w:rPr>
          <w:rStyle w:val="VerbatimChar"/>
          <w:rFonts w:ascii="Arial" w:hAnsi="Arial" w:cs="Arial"/>
          <w:color w:val="000000" w:themeColor="text1"/>
          <w:sz w:val="20"/>
          <w:szCs w:val="20"/>
        </w:rPr>
        <w:t>210)&lt;</w:t>
      </w:r>
      <w:proofErr w:type="gramEnd"/>
      <w:r w:rsidRPr="00AD3D30">
        <w:rPr>
          <w:rStyle w:val="VerbatimChar"/>
          <w:rFonts w:ascii="Arial" w:hAnsi="Arial" w:cs="Arial"/>
          <w:color w:val="000000" w:themeColor="text1"/>
          <w:sz w:val="20"/>
          <w:szCs w:val="20"/>
        </w:rPr>
        <w:t>br/&gt;Criteria CI1-CI4 not met"]</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end</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subgraph P3["3. ELIGIBILITY"]</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C["Reports sought for retrieval (n = 50)"]</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C1["Reports not retrieved (n = 0)"]</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D["Reports assessed for eligibility (n = 50)"]</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D2["Reports excluded (n = 40)&lt;br/&gt;CE4 No supply-chain or trade link (n = 13)&lt;br/&gt;CE5 No sustainability dimension (n = 9)&lt;br/&gt;CE1 Not a peer-reviewed article (n = 7)&lt;br/&gt;CE6 Insufficient reporting (n = 6)&lt;br/&gt;CE8 Duplicate or overlapping content (n = 5)"]</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end</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subgraph P4["4. INCLUSION"]</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w:t>
      </w:r>
      <w:proofErr w:type="gramStart"/>
      <w:r w:rsidRPr="00AD3D30">
        <w:rPr>
          <w:rStyle w:val="VerbatimChar"/>
          <w:rFonts w:ascii="Arial" w:hAnsi="Arial" w:cs="Arial"/>
          <w:color w:val="000000" w:themeColor="text1"/>
          <w:sz w:val="20"/>
          <w:szCs w:val="20"/>
        </w:rPr>
        <w:t>E[</w:t>
      </w:r>
      <w:proofErr w:type="gramEnd"/>
      <w:r w:rsidRPr="00AD3D30">
        <w:rPr>
          <w:rStyle w:val="VerbatimChar"/>
          <w:rFonts w:ascii="Arial" w:hAnsi="Arial" w:cs="Arial"/>
          <w:color w:val="000000" w:themeColor="text1"/>
          <w:sz w:val="20"/>
          <w:szCs w:val="20"/>
        </w:rPr>
        <w:t xml:space="preserve">"Studies included in review (n = </w:t>
      </w:r>
      <w:proofErr w:type="gramStart"/>
      <w:r w:rsidRPr="00AD3D30">
        <w:rPr>
          <w:rStyle w:val="VerbatimChar"/>
          <w:rFonts w:ascii="Arial" w:hAnsi="Arial" w:cs="Arial"/>
          <w:color w:val="000000" w:themeColor="text1"/>
          <w:sz w:val="20"/>
          <w:szCs w:val="20"/>
        </w:rPr>
        <w:t>10)&lt;</w:t>
      </w:r>
      <w:proofErr w:type="gramEnd"/>
      <w:r w:rsidRPr="00AD3D30">
        <w:rPr>
          <w:rStyle w:val="VerbatimChar"/>
          <w:rFonts w:ascii="Arial" w:hAnsi="Arial" w:cs="Arial"/>
          <w:color w:val="000000" w:themeColor="text1"/>
          <w:sz w:val="20"/>
          <w:szCs w:val="20"/>
        </w:rPr>
        <w:t>br/&gt;Reports of included studies (n = 0)"]</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end</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A --&gt; A2</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A --&gt; B</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B --&gt; B2</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B --&gt; C</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C --&gt; C1</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C --&gt; D</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D --&gt; D2</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D --&gt; E</w:t>
      </w:r>
    </w:p>
    <w:p w14:paraId="15A8A4AB" w14:textId="77777777" w:rsidR="005D1369" w:rsidRPr="00201D85" w:rsidRDefault="00000000" w:rsidP="00AD3D30">
      <w:pPr>
        <w:pStyle w:val="Ttulo2"/>
        <w:rPr>
          <w:rFonts w:ascii="Arial" w:hAnsi="Arial" w:cs="Arial"/>
          <w:color w:val="000000" w:themeColor="text1"/>
          <w:sz w:val="20"/>
          <w:szCs w:val="20"/>
          <w:u w:val="single"/>
        </w:rPr>
      </w:pPr>
      <w:bookmarkStart w:id="12" w:name="component-3-gap-analysis"/>
      <w:bookmarkEnd w:id="7"/>
      <w:bookmarkEnd w:id="11"/>
      <w:r w:rsidRPr="00201D85">
        <w:rPr>
          <w:rFonts w:ascii="Arial" w:hAnsi="Arial" w:cs="Arial"/>
          <w:color w:val="000000" w:themeColor="text1"/>
          <w:sz w:val="20"/>
          <w:szCs w:val="20"/>
          <w:u w:val="single"/>
        </w:rPr>
        <w:t>Component 3 — Gap Analysis</w:t>
      </w:r>
    </w:p>
    <w:p w14:paraId="01C1F9CF" w14:textId="77777777" w:rsidR="005D1369" w:rsidRPr="00AD3D30" w:rsidRDefault="00000000" w:rsidP="00AD3D30">
      <w:pPr>
        <w:pStyle w:val="FirstParagraph"/>
        <w:rPr>
          <w:rFonts w:ascii="Arial" w:hAnsi="Arial" w:cs="Arial"/>
          <w:color w:val="000000" w:themeColor="text1"/>
          <w:sz w:val="20"/>
          <w:szCs w:val="20"/>
        </w:rPr>
      </w:pPr>
      <w:r w:rsidRPr="00AD3D30">
        <w:rPr>
          <w:rFonts w:ascii="Arial" w:hAnsi="Arial" w:cs="Arial"/>
          <w:color w:val="000000" w:themeColor="text1"/>
          <w:sz w:val="20"/>
          <w:szCs w:val="20"/>
        </w:rPr>
        <w:t>Candidate gaps are classified into four standard research categories:</w:t>
      </w:r>
    </w:p>
    <w:p w14:paraId="09992AD5" w14:textId="77777777" w:rsidR="005D1369" w:rsidRPr="00AD3D30" w:rsidRDefault="00000000" w:rsidP="00AD3D30">
      <w:pPr>
        <w:pStyle w:val="Compact"/>
        <w:numPr>
          <w:ilvl w:val="0"/>
          <w:numId w:val="4"/>
        </w:numPr>
        <w:rPr>
          <w:rFonts w:ascii="Arial" w:hAnsi="Arial" w:cs="Arial"/>
          <w:color w:val="000000" w:themeColor="text1"/>
          <w:sz w:val="20"/>
          <w:szCs w:val="20"/>
        </w:rPr>
      </w:pPr>
      <w:r w:rsidRPr="00AD3D30">
        <w:rPr>
          <w:rFonts w:ascii="Arial" w:hAnsi="Arial" w:cs="Arial"/>
          <w:b/>
          <w:bCs/>
          <w:color w:val="000000" w:themeColor="text1"/>
          <w:sz w:val="20"/>
          <w:szCs w:val="20"/>
        </w:rPr>
        <w:t>(M) Methodological:</w:t>
      </w:r>
      <w:r w:rsidRPr="00AD3D30">
        <w:rPr>
          <w:rFonts w:ascii="Arial" w:hAnsi="Arial" w:cs="Arial"/>
          <w:color w:val="000000" w:themeColor="text1"/>
          <w:sz w:val="20"/>
          <w:szCs w:val="20"/>
        </w:rPr>
        <w:t xml:space="preserve"> limitations in techniques, data or designs.</w:t>
      </w:r>
    </w:p>
    <w:p w14:paraId="540CDC6F" w14:textId="77777777" w:rsidR="005D1369" w:rsidRPr="00AD3D30" w:rsidRDefault="00000000" w:rsidP="00AD3D30">
      <w:pPr>
        <w:pStyle w:val="Compact"/>
        <w:numPr>
          <w:ilvl w:val="0"/>
          <w:numId w:val="4"/>
        </w:numPr>
        <w:rPr>
          <w:rFonts w:ascii="Arial" w:hAnsi="Arial" w:cs="Arial"/>
          <w:color w:val="000000" w:themeColor="text1"/>
          <w:sz w:val="20"/>
          <w:szCs w:val="20"/>
        </w:rPr>
      </w:pPr>
      <w:r w:rsidRPr="00AD3D30">
        <w:rPr>
          <w:rFonts w:ascii="Arial" w:hAnsi="Arial" w:cs="Arial"/>
          <w:b/>
          <w:bCs/>
          <w:color w:val="000000" w:themeColor="text1"/>
          <w:sz w:val="20"/>
          <w:szCs w:val="20"/>
        </w:rPr>
        <w:t>(T) Theoretical / Conceptual:</w:t>
      </w:r>
      <w:r w:rsidRPr="00AD3D30">
        <w:rPr>
          <w:rFonts w:ascii="Arial" w:hAnsi="Arial" w:cs="Arial"/>
          <w:color w:val="000000" w:themeColor="text1"/>
          <w:sz w:val="20"/>
          <w:szCs w:val="20"/>
        </w:rPr>
        <w:t xml:space="preserve"> missing constructs, frameworks or definitions.</w:t>
      </w:r>
    </w:p>
    <w:p w14:paraId="0C7181DC" w14:textId="77777777" w:rsidR="005D1369" w:rsidRPr="00AD3D30" w:rsidRDefault="00000000" w:rsidP="00AD3D30">
      <w:pPr>
        <w:pStyle w:val="Compact"/>
        <w:numPr>
          <w:ilvl w:val="0"/>
          <w:numId w:val="4"/>
        </w:numPr>
        <w:rPr>
          <w:rFonts w:ascii="Arial" w:hAnsi="Arial" w:cs="Arial"/>
          <w:color w:val="000000" w:themeColor="text1"/>
          <w:sz w:val="20"/>
          <w:szCs w:val="20"/>
        </w:rPr>
      </w:pPr>
      <w:r w:rsidRPr="00AD3D30">
        <w:rPr>
          <w:rFonts w:ascii="Arial" w:hAnsi="Arial" w:cs="Arial"/>
          <w:b/>
          <w:bCs/>
          <w:color w:val="000000" w:themeColor="text1"/>
          <w:sz w:val="20"/>
          <w:szCs w:val="20"/>
        </w:rPr>
        <w:t>(E) Empirical / Practical:</w:t>
      </w:r>
      <w:r w:rsidRPr="00AD3D30">
        <w:rPr>
          <w:rFonts w:ascii="Arial" w:hAnsi="Arial" w:cs="Arial"/>
          <w:color w:val="000000" w:themeColor="text1"/>
          <w:sz w:val="20"/>
          <w:szCs w:val="20"/>
        </w:rPr>
        <w:t xml:space="preserve"> missing, unverifiable or non-generalizable evidence.</w:t>
      </w:r>
    </w:p>
    <w:p w14:paraId="798F7C8E" w14:textId="77777777" w:rsidR="005D1369" w:rsidRPr="00AD3D30" w:rsidRDefault="00000000" w:rsidP="00AD3D30">
      <w:pPr>
        <w:pStyle w:val="Compact"/>
        <w:numPr>
          <w:ilvl w:val="0"/>
          <w:numId w:val="4"/>
        </w:numPr>
        <w:rPr>
          <w:rFonts w:ascii="Arial" w:hAnsi="Arial" w:cs="Arial"/>
          <w:color w:val="000000" w:themeColor="text1"/>
          <w:sz w:val="20"/>
          <w:szCs w:val="20"/>
        </w:rPr>
      </w:pPr>
      <w:r w:rsidRPr="00AD3D30">
        <w:rPr>
          <w:rFonts w:ascii="Arial" w:hAnsi="Arial" w:cs="Arial"/>
          <w:b/>
          <w:bCs/>
          <w:color w:val="000000" w:themeColor="text1"/>
          <w:sz w:val="20"/>
          <w:szCs w:val="20"/>
        </w:rPr>
        <w:t>(G) Geographical / Contextual:</w:t>
      </w:r>
      <w:r w:rsidRPr="00AD3D30">
        <w:rPr>
          <w:rFonts w:ascii="Arial" w:hAnsi="Arial" w:cs="Arial"/>
          <w:color w:val="000000" w:themeColor="text1"/>
          <w:sz w:val="20"/>
          <w:szCs w:val="20"/>
        </w:rPr>
        <w:t xml:space="preserve"> absence of studies </w:t>
      </w:r>
      <w:proofErr w:type="gramStart"/>
      <w:r w:rsidRPr="00AD3D30">
        <w:rPr>
          <w:rFonts w:ascii="Arial" w:hAnsi="Arial" w:cs="Arial"/>
          <w:color w:val="000000" w:themeColor="text1"/>
          <w:sz w:val="20"/>
          <w:szCs w:val="20"/>
        </w:rPr>
        <w:t>in a given</w:t>
      </w:r>
      <w:proofErr w:type="gramEnd"/>
      <w:r w:rsidRPr="00AD3D30">
        <w:rPr>
          <w:rFonts w:ascii="Arial" w:hAnsi="Arial" w:cs="Arial"/>
          <w:color w:val="000000" w:themeColor="text1"/>
          <w:sz w:val="20"/>
          <w:szCs w:val="20"/>
        </w:rPr>
        <w:t xml:space="preserve"> context, region or population.</w:t>
      </w:r>
    </w:p>
    <w:p w14:paraId="10AA572A" w14:textId="77777777" w:rsidR="005D1369" w:rsidRDefault="00000000" w:rsidP="00AD3D30">
      <w:pPr>
        <w:pStyle w:val="FirstParagraph"/>
        <w:rPr>
          <w:rFonts w:ascii="Arial" w:hAnsi="Arial" w:cs="Arial"/>
          <w:color w:val="000000" w:themeColor="text1"/>
          <w:sz w:val="20"/>
          <w:szCs w:val="20"/>
        </w:rPr>
      </w:pPr>
      <w:r w:rsidRPr="00AD3D30">
        <w:rPr>
          <w:rFonts w:ascii="Arial" w:hAnsi="Arial" w:cs="Arial"/>
          <w:color w:val="000000" w:themeColor="text1"/>
          <w:sz w:val="20"/>
          <w:szCs w:val="20"/>
        </w:rPr>
        <w:t>Each category contains at least two candidate gaps, and every gap is supported by at least two of the ten included articles.</w:t>
      </w:r>
    </w:p>
    <w:p w14:paraId="71DE983B" w14:textId="77777777" w:rsidR="005D1369" w:rsidRPr="00AD3D30" w:rsidRDefault="00000000" w:rsidP="00AD3D30">
      <w:pPr>
        <w:pStyle w:val="Ttulo3"/>
        <w:rPr>
          <w:rFonts w:ascii="Arial" w:hAnsi="Arial" w:cs="Arial"/>
          <w:color w:val="000000" w:themeColor="text1"/>
          <w:sz w:val="20"/>
          <w:szCs w:val="20"/>
        </w:rPr>
      </w:pPr>
      <w:bookmarkStart w:id="13" w:name="gap-analysis-table"/>
      <w:r w:rsidRPr="00AD3D30">
        <w:rPr>
          <w:rFonts w:ascii="Arial" w:hAnsi="Arial" w:cs="Arial"/>
          <w:color w:val="000000" w:themeColor="text1"/>
          <w:sz w:val="20"/>
          <w:szCs w:val="20"/>
        </w:rPr>
        <w:t>3.1 Gap Analysis Table</w:t>
      </w:r>
    </w:p>
    <w:p w14:paraId="0383158F" w14:textId="77777777" w:rsidR="005D1369" w:rsidRPr="00201D85" w:rsidRDefault="00000000" w:rsidP="00AD3D30">
      <w:pPr>
        <w:pStyle w:val="Ttulo4"/>
        <w:rPr>
          <w:rFonts w:ascii="Arial" w:hAnsi="Arial" w:cs="Arial"/>
          <w:b/>
          <w:bCs w:val="0"/>
          <w:color w:val="000000" w:themeColor="text1"/>
          <w:sz w:val="20"/>
          <w:szCs w:val="20"/>
        </w:rPr>
      </w:pPr>
      <w:bookmarkStart w:id="14" w:name="table-3.1a-methodological-m"/>
      <w:r w:rsidRPr="00201D85">
        <w:rPr>
          <w:rFonts w:ascii="Arial" w:hAnsi="Arial" w:cs="Arial"/>
          <w:b/>
          <w:bCs w:val="0"/>
          <w:color w:val="000000" w:themeColor="text1"/>
          <w:sz w:val="20"/>
          <w:szCs w:val="20"/>
        </w:rPr>
        <w:t>Table 3.1a — Methodological (M)</w:t>
      </w:r>
    </w:p>
    <w:p w14:paraId="56DEC7D2" w14:textId="275A62ED" w:rsidR="005D1369" w:rsidRPr="00201D85" w:rsidRDefault="005D1369" w:rsidP="00AD3D30">
      <w:pPr>
        <w:pStyle w:val="FirstParagraph"/>
        <w:rPr>
          <w:rFonts w:ascii="Arial" w:hAnsi="Arial" w:cs="Arial"/>
          <w:b/>
          <w:bCs/>
          <w:color w:val="000000" w:themeColor="text1"/>
          <w:sz w:val="20"/>
          <w:szCs w:val="20"/>
        </w:rPr>
      </w:pPr>
    </w:p>
    <w:tbl>
      <w:tblPr>
        <w:tblStyle w:val="Table"/>
        <w:tblW w:w="5000" w:type="pct"/>
        <w:tblLook w:val="0020" w:firstRow="1" w:lastRow="0" w:firstColumn="0" w:lastColumn="0" w:noHBand="0" w:noVBand="0"/>
      </w:tblPr>
      <w:tblGrid>
        <w:gridCol w:w="494"/>
        <w:gridCol w:w="1562"/>
        <w:gridCol w:w="1793"/>
        <w:gridCol w:w="2459"/>
        <w:gridCol w:w="2050"/>
        <w:gridCol w:w="696"/>
      </w:tblGrid>
      <w:tr w:rsidR="005D1369" w:rsidRPr="00201D85" w14:paraId="001E65D1" w14:textId="77777777" w:rsidTr="005D1369">
        <w:trPr>
          <w:cnfStyle w:val="100000000000" w:firstRow="1" w:lastRow="0" w:firstColumn="0" w:lastColumn="0" w:oddVBand="0" w:evenVBand="0" w:oddHBand="0" w:evenHBand="0" w:firstRowFirstColumn="0" w:firstRowLastColumn="0" w:lastRowFirstColumn="0" w:lastRowLastColumn="0"/>
          <w:tblHeader/>
        </w:trPr>
        <w:tc>
          <w:tcPr>
            <w:tcW w:w="0" w:type="auto"/>
          </w:tcPr>
          <w:p w14:paraId="3BA497F5"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w:t>
            </w:r>
          </w:p>
        </w:tc>
        <w:tc>
          <w:tcPr>
            <w:tcW w:w="0" w:type="auto"/>
          </w:tcPr>
          <w:p w14:paraId="34667596"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Category</w:t>
            </w:r>
          </w:p>
        </w:tc>
        <w:tc>
          <w:tcPr>
            <w:tcW w:w="0" w:type="auto"/>
          </w:tcPr>
          <w:p w14:paraId="59B9BE54"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Candidate gap</w:t>
            </w:r>
          </w:p>
        </w:tc>
        <w:tc>
          <w:tcPr>
            <w:tcW w:w="0" w:type="auto"/>
          </w:tcPr>
          <w:p w14:paraId="45C77741"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Evidence from the corpus</w:t>
            </w:r>
          </w:p>
        </w:tc>
        <w:tc>
          <w:tcPr>
            <w:tcW w:w="0" w:type="auto"/>
          </w:tcPr>
          <w:p w14:paraId="1036D12F"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How this thesis addresses it</w:t>
            </w:r>
          </w:p>
        </w:tc>
        <w:tc>
          <w:tcPr>
            <w:tcW w:w="0" w:type="auto"/>
          </w:tcPr>
          <w:p w14:paraId="2203A003"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RQ</w:t>
            </w:r>
          </w:p>
        </w:tc>
      </w:tr>
      <w:tr w:rsidR="005D1369" w:rsidRPr="00AD3D30" w14:paraId="72DCEA14" w14:textId="77777777">
        <w:tc>
          <w:tcPr>
            <w:tcW w:w="0" w:type="auto"/>
          </w:tcPr>
          <w:p w14:paraId="2934A46C"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M1</w:t>
            </w:r>
          </w:p>
        </w:tc>
        <w:tc>
          <w:tcPr>
            <w:tcW w:w="0" w:type="auto"/>
          </w:tcPr>
          <w:p w14:paraId="63947E21"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Methodological</w:t>
            </w:r>
          </w:p>
        </w:tc>
        <w:tc>
          <w:tcPr>
            <w:tcW w:w="0" w:type="auto"/>
          </w:tcPr>
          <w:p w14:paraId="52B7975F"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ML is applied to aggregated macro-panels or to expert-scored criteria, never to transaction-level administrative records.</w:t>
            </w:r>
          </w:p>
        </w:tc>
        <w:tc>
          <w:tcPr>
            <w:tcW w:w="0" w:type="auto"/>
          </w:tcPr>
          <w:p w14:paraId="6836FA1D"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 xml:space="preserve">A2 calls for “incorporating firm- or plant-level micro-data” (Aydogan, 2026, p. 18). A5: a key limitation of ML is “a lack of high-quality and real-world-collected data sets” (Ghoroghi et al., 2022, p. 450). A4 and A6 rest on the judgement of 20 and 3 experts respectively rather than on transaction-level observations (Dalalah et </w:t>
            </w:r>
            <w:r w:rsidRPr="00AD3D30">
              <w:rPr>
                <w:rFonts w:ascii="Arial" w:hAnsi="Arial" w:cs="Arial"/>
                <w:color w:val="000000" w:themeColor="text1"/>
                <w:sz w:val="20"/>
                <w:szCs w:val="20"/>
              </w:rPr>
              <w:lastRenderedPageBreak/>
              <w:t>al., 2022, p. 11; Hosseini Dehshiri, 2026, p. 242).</w:t>
            </w:r>
          </w:p>
        </w:tc>
        <w:tc>
          <w:tcPr>
            <w:tcW w:w="0" w:type="auto"/>
          </w:tcPr>
          <w:p w14:paraId="20262C3D" w14:textId="77777777" w:rsidR="005D1369" w:rsidRPr="00AD3D30" w:rsidRDefault="00000000" w:rsidP="00AD3D30">
            <w:pPr>
              <w:pStyle w:val="Compact"/>
              <w:rPr>
                <w:rFonts w:ascii="Arial" w:hAnsi="Arial" w:cs="Arial"/>
                <w:color w:val="000000" w:themeColor="text1"/>
                <w:sz w:val="20"/>
                <w:szCs w:val="20"/>
              </w:rPr>
            </w:pPr>
            <w:r>
              <w:rPr>
                <w:rFonts w:ascii="Arial" w:hAnsi="Arial" w:cs="Arial"/>
                <w:color w:val="000000" w:themeColor="text1"/>
                <w:sz w:val="20"/>
                <w:szCs w:val="20"/>
              </w:rPr>
              <w:t>Uses line-level SUNAT/Veritrade import declarations of tissue parent rolls for 2020–2025 (2,994 records); Isolation Forest flags data artifacts before K-Means and XGBoost.</w:t>
            </w:r>
          </w:p>
        </w:tc>
        <w:tc>
          <w:tcPr>
            <w:tcW w:w="0" w:type="auto"/>
          </w:tcPr>
          <w:p w14:paraId="737BE3BE"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RQ1, RQ2</w:t>
            </w:r>
          </w:p>
        </w:tc>
      </w:tr>
      <w:tr w:rsidR="005D1369" w:rsidRPr="00AD3D30" w14:paraId="13A76788" w14:textId="77777777">
        <w:tc>
          <w:tcPr>
            <w:tcW w:w="0" w:type="auto"/>
          </w:tcPr>
          <w:p w14:paraId="200CFD6D"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M2</w:t>
            </w:r>
          </w:p>
        </w:tc>
        <w:tc>
          <w:tcPr>
            <w:tcW w:w="0" w:type="auto"/>
          </w:tcPr>
          <w:p w14:paraId="2D62F153"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Methodological</w:t>
            </w:r>
          </w:p>
        </w:tc>
        <w:tc>
          <w:tcPr>
            <w:tcW w:w="0" w:type="auto"/>
          </w:tcPr>
          <w:p w14:paraId="47D0D5DE"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Machine learning is rarely combined with explainability techniques, and when it is, SHAP or similar tools are applied to producer-side data, not to import flows.</w:t>
            </w:r>
          </w:p>
        </w:tc>
        <w:tc>
          <w:tcPr>
            <w:tcW w:w="0" w:type="auto"/>
          </w:tcPr>
          <w:p w14:paraId="31A981E3"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A2 uses XGBoost + SHAP on producer data (Aydogan, 2026, p. 14). A5 warns that “black-box models such as DNN, RF and SVMs, are exceedingly complex” (Ghoroghi et al., 2022, p. 449). A3 documents the explainability limits of AI in sustainable industrial systems (Bukowski &amp; Werbinska-Wojciechowska, 2025, p</w:t>
            </w:r>
            <w:proofErr w:type="gramStart"/>
            <w:r w:rsidRPr="00AD3D30">
              <w:rPr>
                <w:rFonts w:ascii="Arial" w:hAnsi="Arial" w:cs="Arial"/>
                <w:color w:val="000000" w:themeColor="text1"/>
                <w:sz w:val="20"/>
                <w:szCs w:val="20"/>
              </w:rPr>
              <w:t>. 44</w:t>
            </w:r>
            <w:proofErr w:type="gramEnd"/>
            <w:r w:rsidRPr="00AD3D30">
              <w:rPr>
                <w:rFonts w:ascii="Arial" w:hAnsi="Arial" w:cs="Arial"/>
                <w:color w:val="000000" w:themeColor="text1"/>
                <w:sz w:val="20"/>
                <w:szCs w:val="20"/>
              </w:rPr>
              <w:t>). A4 reports no model interpretability analysis (Dalalah et al., 2022).</w:t>
            </w:r>
          </w:p>
        </w:tc>
        <w:tc>
          <w:tcPr>
            <w:tcW w:w="0" w:type="auto"/>
          </w:tcPr>
          <w:p w14:paraId="4EE8ABF1"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Couples K-Means clustering with XGBoost classification and SHAP explanations of the detected clusters, applied to import-level data.</w:t>
            </w:r>
          </w:p>
        </w:tc>
        <w:tc>
          <w:tcPr>
            <w:tcW w:w="0" w:type="auto"/>
          </w:tcPr>
          <w:p w14:paraId="4F192B85"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RQ1, RQ2</w:t>
            </w:r>
          </w:p>
        </w:tc>
      </w:tr>
    </w:tbl>
    <w:p w14:paraId="7F709E69" w14:textId="77777777" w:rsidR="00201D85" w:rsidRDefault="00201D85" w:rsidP="00AD3D30">
      <w:pPr>
        <w:pStyle w:val="Ttulo4"/>
        <w:rPr>
          <w:rFonts w:ascii="Arial" w:hAnsi="Arial" w:cs="Arial"/>
          <w:color w:val="000000" w:themeColor="text1"/>
          <w:sz w:val="20"/>
          <w:szCs w:val="20"/>
        </w:rPr>
      </w:pPr>
      <w:bookmarkStart w:id="15" w:name="table-3.1b-theoretical-conceptual-t"/>
      <w:bookmarkEnd w:id="14"/>
    </w:p>
    <w:p w14:paraId="777F1064" w14:textId="4F4E0F71" w:rsidR="005D1369" w:rsidRPr="00201D85" w:rsidRDefault="00000000" w:rsidP="00201D85">
      <w:pPr>
        <w:pStyle w:val="Ttulo4"/>
        <w:rPr>
          <w:rFonts w:ascii="Arial" w:hAnsi="Arial" w:cs="Arial"/>
          <w:b/>
          <w:bCs w:val="0"/>
          <w:color w:val="000000" w:themeColor="text1"/>
          <w:sz w:val="20"/>
          <w:szCs w:val="20"/>
        </w:rPr>
      </w:pPr>
      <w:r w:rsidRPr="00201D85">
        <w:rPr>
          <w:rFonts w:ascii="Arial" w:hAnsi="Arial" w:cs="Arial"/>
          <w:b/>
          <w:bCs w:val="0"/>
          <w:color w:val="000000" w:themeColor="text1"/>
          <w:sz w:val="20"/>
          <w:szCs w:val="20"/>
        </w:rPr>
        <w:t>Table 3.1b — Theoretical / Conceptual (T)</w:t>
      </w:r>
      <w:r w:rsidR="00201D85" w:rsidRPr="00201D85">
        <w:rPr>
          <w:rFonts w:ascii="Arial" w:hAnsi="Arial" w:cs="Arial"/>
          <w:b/>
          <w:bCs w:val="0"/>
          <w:color w:val="000000" w:themeColor="text1"/>
          <w:sz w:val="20"/>
          <w:szCs w:val="20"/>
        </w:rPr>
        <w:br/>
      </w:r>
    </w:p>
    <w:tbl>
      <w:tblPr>
        <w:tblStyle w:val="Table"/>
        <w:tblW w:w="5000" w:type="pct"/>
        <w:tblLook w:val="0020" w:firstRow="1" w:lastRow="0" w:firstColumn="0" w:lastColumn="0" w:noHBand="0" w:noVBand="0"/>
      </w:tblPr>
      <w:tblGrid>
        <w:gridCol w:w="451"/>
        <w:gridCol w:w="1266"/>
        <w:gridCol w:w="2055"/>
        <w:gridCol w:w="2457"/>
        <w:gridCol w:w="2127"/>
        <w:gridCol w:w="698"/>
      </w:tblGrid>
      <w:tr w:rsidR="005D1369" w:rsidRPr="00201D85" w14:paraId="5D3EB92A" w14:textId="77777777" w:rsidTr="005D1369">
        <w:trPr>
          <w:cnfStyle w:val="100000000000" w:firstRow="1" w:lastRow="0" w:firstColumn="0" w:lastColumn="0" w:oddVBand="0" w:evenVBand="0" w:oddHBand="0" w:evenHBand="0" w:firstRowFirstColumn="0" w:firstRowLastColumn="0" w:lastRowFirstColumn="0" w:lastRowLastColumn="0"/>
          <w:tblHeader/>
        </w:trPr>
        <w:tc>
          <w:tcPr>
            <w:tcW w:w="0" w:type="auto"/>
          </w:tcPr>
          <w:p w14:paraId="60A4D333" w14:textId="77777777" w:rsidR="005D1369" w:rsidRPr="00201D85" w:rsidRDefault="00000000" w:rsidP="00AD3D30">
            <w:pPr>
              <w:pStyle w:val="Compact"/>
              <w:rPr>
                <w:rFonts w:ascii="Arial" w:hAnsi="Arial" w:cs="Arial"/>
                <w:b/>
                <w:color w:val="000000" w:themeColor="text1"/>
                <w:sz w:val="20"/>
                <w:szCs w:val="20"/>
              </w:rPr>
            </w:pPr>
            <w:r w:rsidRPr="00201D85">
              <w:rPr>
                <w:rFonts w:ascii="Arial" w:hAnsi="Arial" w:cs="Arial"/>
                <w:b/>
                <w:color w:val="000000" w:themeColor="text1"/>
                <w:sz w:val="20"/>
                <w:szCs w:val="20"/>
              </w:rPr>
              <w:t>#</w:t>
            </w:r>
          </w:p>
        </w:tc>
        <w:tc>
          <w:tcPr>
            <w:tcW w:w="0" w:type="auto"/>
          </w:tcPr>
          <w:p w14:paraId="2E472392" w14:textId="77777777" w:rsidR="005D1369" w:rsidRPr="00201D85" w:rsidRDefault="00000000" w:rsidP="00AD3D30">
            <w:pPr>
              <w:pStyle w:val="Compact"/>
              <w:rPr>
                <w:rFonts w:ascii="Arial" w:hAnsi="Arial" w:cs="Arial"/>
                <w:b/>
                <w:color w:val="000000" w:themeColor="text1"/>
                <w:sz w:val="20"/>
                <w:szCs w:val="20"/>
              </w:rPr>
            </w:pPr>
            <w:r w:rsidRPr="00201D85">
              <w:rPr>
                <w:rFonts w:ascii="Arial" w:hAnsi="Arial" w:cs="Arial"/>
                <w:b/>
                <w:color w:val="000000" w:themeColor="text1"/>
                <w:sz w:val="20"/>
                <w:szCs w:val="20"/>
              </w:rPr>
              <w:t>Category</w:t>
            </w:r>
          </w:p>
        </w:tc>
        <w:tc>
          <w:tcPr>
            <w:tcW w:w="0" w:type="auto"/>
          </w:tcPr>
          <w:p w14:paraId="7A2C5BEC" w14:textId="77777777" w:rsidR="005D1369" w:rsidRPr="00201D85" w:rsidRDefault="00000000" w:rsidP="00AD3D30">
            <w:pPr>
              <w:pStyle w:val="Compact"/>
              <w:rPr>
                <w:rFonts w:ascii="Arial" w:hAnsi="Arial" w:cs="Arial"/>
                <w:b/>
                <w:color w:val="000000" w:themeColor="text1"/>
                <w:sz w:val="20"/>
                <w:szCs w:val="20"/>
              </w:rPr>
            </w:pPr>
            <w:r w:rsidRPr="00201D85">
              <w:rPr>
                <w:rFonts w:ascii="Arial" w:hAnsi="Arial" w:cs="Arial"/>
                <w:b/>
                <w:color w:val="000000" w:themeColor="text1"/>
                <w:sz w:val="20"/>
                <w:szCs w:val="20"/>
              </w:rPr>
              <w:t>Candidate gap</w:t>
            </w:r>
          </w:p>
        </w:tc>
        <w:tc>
          <w:tcPr>
            <w:tcW w:w="0" w:type="auto"/>
          </w:tcPr>
          <w:p w14:paraId="12CF5C4E" w14:textId="77777777" w:rsidR="005D1369" w:rsidRPr="00201D85" w:rsidRDefault="00000000" w:rsidP="00AD3D30">
            <w:pPr>
              <w:pStyle w:val="Compact"/>
              <w:rPr>
                <w:rFonts w:ascii="Arial" w:hAnsi="Arial" w:cs="Arial"/>
                <w:b/>
                <w:color w:val="000000" w:themeColor="text1"/>
                <w:sz w:val="20"/>
                <w:szCs w:val="20"/>
              </w:rPr>
            </w:pPr>
            <w:r w:rsidRPr="00201D85">
              <w:rPr>
                <w:rFonts w:ascii="Arial" w:hAnsi="Arial" w:cs="Arial"/>
                <w:b/>
                <w:color w:val="000000" w:themeColor="text1"/>
                <w:sz w:val="20"/>
                <w:szCs w:val="20"/>
              </w:rPr>
              <w:t>Evidence from the corpus</w:t>
            </w:r>
          </w:p>
        </w:tc>
        <w:tc>
          <w:tcPr>
            <w:tcW w:w="0" w:type="auto"/>
          </w:tcPr>
          <w:p w14:paraId="3814E1A5" w14:textId="77777777" w:rsidR="005D1369" w:rsidRPr="00201D85" w:rsidRDefault="00000000" w:rsidP="00AD3D30">
            <w:pPr>
              <w:pStyle w:val="Compact"/>
              <w:rPr>
                <w:rFonts w:ascii="Arial" w:hAnsi="Arial" w:cs="Arial"/>
                <w:b/>
                <w:color w:val="000000" w:themeColor="text1"/>
                <w:sz w:val="20"/>
                <w:szCs w:val="20"/>
              </w:rPr>
            </w:pPr>
            <w:r w:rsidRPr="00201D85">
              <w:rPr>
                <w:rFonts w:ascii="Arial" w:hAnsi="Arial" w:cs="Arial"/>
                <w:b/>
                <w:color w:val="000000" w:themeColor="text1"/>
                <w:sz w:val="20"/>
                <w:szCs w:val="20"/>
              </w:rPr>
              <w:t>How this thesis addresses it</w:t>
            </w:r>
          </w:p>
        </w:tc>
        <w:tc>
          <w:tcPr>
            <w:tcW w:w="0" w:type="auto"/>
          </w:tcPr>
          <w:p w14:paraId="14215175" w14:textId="77777777" w:rsidR="005D1369" w:rsidRPr="00201D85" w:rsidRDefault="00000000" w:rsidP="00AD3D30">
            <w:pPr>
              <w:pStyle w:val="Compact"/>
              <w:rPr>
                <w:rFonts w:ascii="Arial" w:hAnsi="Arial" w:cs="Arial"/>
                <w:b/>
                <w:color w:val="000000" w:themeColor="text1"/>
                <w:sz w:val="20"/>
                <w:szCs w:val="20"/>
              </w:rPr>
            </w:pPr>
            <w:r w:rsidRPr="00201D85">
              <w:rPr>
                <w:rFonts w:ascii="Arial" w:hAnsi="Arial" w:cs="Arial"/>
                <w:b/>
                <w:color w:val="000000" w:themeColor="text1"/>
                <w:sz w:val="20"/>
                <w:szCs w:val="20"/>
              </w:rPr>
              <w:t>RQ</w:t>
            </w:r>
          </w:p>
        </w:tc>
      </w:tr>
      <w:tr w:rsidR="005D1369" w:rsidRPr="00AD3D30" w14:paraId="4A39D047" w14:textId="77777777">
        <w:tc>
          <w:tcPr>
            <w:tcW w:w="0" w:type="auto"/>
          </w:tcPr>
          <w:p w14:paraId="4A525AEC"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T1</w:t>
            </w:r>
          </w:p>
        </w:tc>
        <w:tc>
          <w:tcPr>
            <w:tcW w:w="0" w:type="auto"/>
          </w:tcPr>
          <w:p w14:paraId="5476E155"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Theoretical / Conceptual</w:t>
            </w:r>
          </w:p>
        </w:tc>
        <w:tc>
          <w:tcPr>
            <w:tcW w:w="0" w:type="auto"/>
          </w:tcPr>
          <w:p w14:paraId="6FAF4C4C"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“Sustainable import” is not defined as a construct: sustainability is conceptualized per product (LCA) or per supplier score, never per traded shipment.</w:t>
            </w:r>
          </w:p>
        </w:tc>
        <w:tc>
          <w:tcPr>
            <w:tcW w:w="0" w:type="auto"/>
          </w:tcPr>
          <w:p w14:paraId="330EF852"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A1: 55% of LCA–SCM studies stop at the factory gate and “decouple upstream procurement from downstream distribution” (Akintayo et al., 2026, p. 7). A6: prior work used “general and limited indicators” unfit for specific industries (Hosseini Dehshiri, 2026, p. 248). A10 treats certification and green procurement as integration strategies without defining a measurable construct (Okogwu et al., 2023, p. 60).</w:t>
            </w:r>
          </w:p>
        </w:tc>
        <w:tc>
          <w:tcPr>
            <w:tcW w:w="0" w:type="auto"/>
          </w:tcPr>
          <w:p w14:paraId="60592D3D" w14:textId="77777777" w:rsidR="005D1369" w:rsidRPr="00AD3D30" w:rsidRDefault="00000000" w:rsidP="00AD3D30">
            <w:pPr>
              <w:pStyle w:val="Compact"/>
              <w:rPr>
                <w:rFonts w:ascii="Arial" w:hAnsi="Arial" w:cs="Arial"/>
                <w:color w:val="000000" w:themeColor="text1"/>
                <w:sz w:val="20"/>
                <w:szCs w:val="20"/>
              </w:rPr>
            </w:pPr>
            <w:r>
              <w:rPr>
                <w:rFonts w:ascii="Arial" w:hAnsi="Arial" w:cs="Arial"/>
                <w:color w:val="000000" w:themeColor="text1"/>
                <w:sz w:val="20"/>
                <w:szCs w:val="20"/>
              </w:rPr>
              <w:t>Operationalizes sustainability through explicit proxies (FSC/PEFC/ISO 14001 wording, recycled-content wording, HS subheading, origin), each with its meaning, error sources and a data-based validation test.</w:t>
            </w:r>
          </w:p>
        </w:tc>
        <w:tc>
          <w:tcPr>
            <w:tcW w:w="0" w:type="auto"/>
          </w:tcPr>
          <w:p w14:paraId="582979FD"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RQ2, RQ3</w:t>
            </w:r>
          </w:p>
        </w:tc>
      </w:tr>
      <w:tr w:rsidR="005D1369" w:rsidRPr="00AD3D30" w14:paraId="71E9AF02" w14:textId="77777777">
        <w:tc>
          <w:tcPr>
            <w:tcW w:w="0" w:type="auto"/>
          </w:tcPr>
          <w:p w14:paraId="26F806D1"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T2</w:t>
            </w:r>
          </w:p>
        </w:tc>
        <w:tc>
          <w:tcPr>
            <w:tcW w:w="0" w:type="auto"/>
          </w:tcPr>
          <w:p w14:paraId="142A3D4C"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Theoretical / Conceptual</w:t>
            </w:r>
          </w:p>
        </w:tc>
        <w:tc>
          <w:tcPr>
            <w:tcW w:w="0" w:type="auto"/>
          </w:tcPr>
          <w:p w14:paraId="337E3705"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 xml:space="preserve">Sustainability is theorized as a property of supply chains or firms, not of individual trade flows, so no theoretical link exists between </w:t>
            </w:r>
            <w:r w:rsidRPr="00AD3D30">
              <w:rPr>
                <w:rFonts w:ascii="Arial" w:hAnsi="Arial" w:cs="Arial"/>
                <w:color w:val="000000" w:themeColor="text1"/>
                <w:sz w:val="20"/>
                <w:szCs w:val="20"/>
              </w:rPr>
              <w:lastRenderedPageBreak/>
              <w:t>shipment-level attributes and sustainable import patterns.</w:t>
            </w:r>
          </w:p>
        </w:tc>
        <w:tc>
          <w:tcPr>
            <w:tcW w:w="0" w:type="auto"/>
          </w:tcPr>
          <w:p w14:paraId="0C118D51"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lastRenderedPageBreak/>
              <w:t xml:space="preserve">A8 theorizes how AI can reinforce unsustainable flows through “structural distortion” at the supply-chain level (Lindblad, 2026, p. 1) and states that its propositions “require empirical </w:t>
            </w:r>
            <w:r w:rsidRPr="00AD3D30">
              <w:rPr>
                <w:rFonts w:ascii="Arial" w:hAnsi="Arial" w:cs="Arial"/>
                <w:color w:val="000000" w:themeColor="text1"/>
                <w:sz w:val="20"/>
                <w:szCs w:val="20"/>
              </w:rPr>
              <w:lastRenderedPageBreak/>
              <w:t>validation across projects, organizations, and institutional contexts” (p. 15). A7 places green procurement on its future research agenda for sustainability (Li et al., 2024, p. 547). A9 allocates orders on case data in which “some values were anonymized or simulated”, not on observed trade flows (Messaoudi et al., 2025, p. 549).</w:t>
            </w:r>
          </w:p>
        </w:tc>
        <w:tc>
          <w:tcPr>
            <w:tcW w:w="0" w:type="auto"/>
          </w:tcPr>
          <w:p w14:paraId="18670F61" w14:textId="77777777" w:rsidR="005D1369" w:rsidRPr="00AD3D30" w:rsidRDefault="00000000" w:rsidP="00AD3D30">
            <w:pPr>
              <w:pStyle w:val="Compact"/>
              <w:rPr>
                <w:rFonts w:ascii="Arial" w:hAnsi="Arial" w:cs="Arial"/>
                <w:color w:val="000000" w:themeColor="text1"/>
                <w:sz w:val="20"/>
                <w:szCs w:val="20"/>
              </w:rPr>
            </w:pPr>
            <w:r>
              <w:rPr>
                <w:rFonts w:ascii="Arial" w:hAnsi="Arial" w:cs="Arial"/>
                <w:color w:val="000000" w:themeColor="text1"/>
                <w:sz w:val="20"/>
                <w:szCs w:val="20"/>
              </w:rPr>
              <w:t>Builds an original construct of “sustainable import pattern” defined at the declaration-line level, validated by two-rater manual labelling (Cohen's kappa) and checks in the public FSC/PEFC registries.</w:t>
            </w:r>
          </w:p>
        </w:tc>
        <w:tc>
          <w:tcPr>
            <w:tcW w:w="0" w:type="auto"/>
          </w:tcPr>
          <w:p w14:paraId="44C5C37F"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RQ2, RQ3</w:t>
            </w:r>
          </w:p>
        </w:tc>
      </w:tr>
    </w:tbl>
    <w:p w14:paraId="1FAC5D63" w14:textId="48D4472B" w:rsidR="005D1369" w:rsidRPr="00201D85" w:rsidRDefault="00000000" w:rsidP="00201D85">
      <w:pPr>
        <w:pStyle w:val="Ttulo4"/>
        <w:rPr>
          <w:rFonts w:ascii="Arial" w:hAnsi="Arial" w:cs="Arial"/>
          <w:b/>
          <w:bCs w:val="0"/>
          <w:color w:val="000000" w:themeColor="text1"/>
          <w:sz w:val="20"/>
          <w:szCs w:val="20"/>
        </w:rPr>
      </w:pPr>
      <w:bookmarkStart w:id="16" w:name="table-3.1c-empirical-practical-e"/>
      <w:bookmarkEnd w:id="15"/>
      <w:r w:rsidRPr="00201D85">
        <w:rPr>
          <w:rFonts w:ascii="Arial" w:hAnsi="Arial" w:cs="Arial"/>
          <w:b/>
          <w:bCs w:val="0"/>
          <w:color w:val="000000" w:themeColor="text1"/>
          <w:sz w:val="20"/>
          <w:szCs w:val="20"/>
        </w:rPr>
        <w:t>Table 3.1c — Empirical / Practical (E)</w:t>
      </w:r>
    </w:p>
    <w:tbl>
      <w:tblPr>
        <w:tblStyle w:val="Table"/>
        <w:tblW w:w="5000" w:type="pct"/>
        <w:tblLook w:val="0020" w:firstRow="1" w:lastRow="0" w:firstColumn="0" w:lastColumn="0" w:noHBand="0" w:noVBand="0"/>
      </w:tblPr>
      <w:tblGrid>
        <w:gridCol w:w="462"/>
        <w:gridCol w:w="1118"/>
        <w:gridCol w:w="1931"/>
        <w:gridCol w:w="2754"/>
        <w:gridCol w:w="2088"/>
        <w:gridCol w:w="701"/>
      </w:tblGrid>
      <w:tr w:rsidR="005D1369" w:rsidRPr="00201D85" w14:paraId="35351F5C" w14:textId="77777777" w:rsidTr="005D1369">
        <w:trPr>
          <w:cnfStyle w:val="100000000000" w:firstRow="1" w:lastRow="0" w:firstColumn="0" w:lastColumn="0" w:oddVBand="0" w:evenVBand="0" w:oddHBand="0" w:evenHBand="0" w:firstRowFirstColumn="0" w:firstRowLastColumn="0" w:lastRowFirstColumn="0" w:lastRowLastColumn="0"/>
          <w:tblHeader/>
        </w:trPr>
        <w:tc>
          <w:tcPr>
            <w:tcW w:w="0" w:type="auto"/>
          </w:tcPr>
          <w:p w14:paraId="32876E9D" w14:textId="77777777" w:rsidR="005D1369" w:rsidRPr="00201D85" w:rsidRDefault="00000000" w:rsidP="00AD3D30">
            <w:pPr>
              <w:pStyle w:val="Compact"/>
              <w:rPr>
                <w:rFonts w:ascii="Arial" w:hAnsi="Arial" w:cs="Arial"/>
                <w:b/>
                <w:color w:val="000000" w:themeColor="text1"/>
                <w:sz w:val="20"/>
                <w:szCs w:val="20"/>
              </w:rPr>
            </w:pPr>
            <w:r w:rsidRPr="00201D85">
              <w:rPr>
                <w:rFonts w:ascii="Arial" w:hAnsi="Arial" w:cs="Arial"/>
                <w:b/>
                <w:color w:val="000000" w:themeColor="text1"/>
                <w:sz w:val="20"/>
                <w:szCs w:val="20"/>
              </w:rPr>
              <w:t>#</w:t>
            </w:r>
          </w:p>
        </w:tc>
        <w:tc>
          <w:tcPr>
            <w:tcW w:w="0" w:type="auto"/>
          </w:tcPr>
          <w:p w14:paraId="10AB5A19" w14:textId="77777777" w:rsidR="005D1369" w:rsidRPr="00201D85" w:rsidRDefault="00000000" w:rsidP="00AD3D30">
            <w:pPr>
              <w:pStyle w:val="Compact"/>
              <w:rPr>
                <w:rFonts w:ascii="Arial" w:hAnsi="Arial" w:cs="Arial"/>
                <w:b/>
                <w:color w:val="000000" w:themeColor="text1"/>
                <w:sz w:val="20"/>
                <w:szCs w:val="20"/>
              </w:rPr>
            </w:pPr>
            <w:r w:rsidRPr="00201D85">
              <w:rPr>
                <w:rFonts w:ascii="Arial" w:hAnsi="Arial" w:cs="Arial"/>
                <w:b/>
                <w:color w:val="000000" w:themeColor="text1"/>
                <w:sz w:val="20"/>
                <w:szCs w:val="20"/>
              </w:rPr>
              <w:t>Category</w:t>
            </w:r>
          </w:p>
        </w:tc>
        <w:tc>
          <w:tcPr>
            <w:tcW w:w="0" w:type="auto"/>
          </w:tcPr>
          <w:p w14:paraId="18AC3B7D" w14:textId="77777777" w:rsidR="005D1369" w:rsidRPr="00201D85" w:rsidRDefault="00000000" w:rsidP="00AD3D30">
            <w:pPr>
              <w:pStyle w:val="Compact"/>
              <w:rPr>
                <w:rFonts w:ascii="Arial" w:hAnsi="Arial" w:cs="Arial"/>
                <w:b/>
                <w:color w:val="000000" w:themeColor="text1"/>
                <w:sz w:val="20"/>
                <w:szCs w:val="20"/>
              </w:rPr>
            </w:pPr>
            <w:r w:rsidRPr="00201D85">
              <w:rPr>
                <w:rFonts w:ascii="Arial" w:hAnsi="Arial" w:cs="Arial"/>
                <w:b/>
                <w:color w:val="000000" w:themeColor="text1"/>
                <w:sz w:val="20"/>
                <w:szCs w:val="20"/>
              </w:rPr>
              <w:t>Candidate gap</w:t>
            </w:r>
          </w:p>
        </w:tc>
        <w:tc>
          <w:tcPr>
            <w:tcW w:w="0" w:type="auto"/>
          </w:tcPr>
          <w:p w14:paraId="2272EC0D" w14:textId="77777777" w:rsidR="005D1369" w:rsidRPr="00201D85" w:rsidRDefault="00000000" w:rsidP="00AD3D30">
            <w:pPr>
              <w:pStyle w:val="Compact"/>
              <w:rPr>
                <w:rFonts w:ascii="Arial" w:hAnsi="Arial" w:cs="Arial"/>
                <w:b/>
                <w:color w:val="000000" w:themeColor="text1"/>
                <w:sz w:val="20"/>
                <w:szCs w:val="20"/>
              </w:rPr>
            </w:pPr>
            <w:r w:rsidRPr="00201D85">
              <w:rPr>
                <w:rFonts w:ascii="Arial" w:hAnsi="Arial" w:cs="Arial"/>
                <w:b/>
                <w:color w:val="000000" w:themeColor="text1"/>
                <w:sz w:val="20"/>
                <w:szCs w:val="20"/>
              </w:rPr>
              <w:t>Evidence from the corpus</w:t>
            </w:r>
          </w:p>
        </w:tc>
        <w:tc>
          <w:tcPr>
            <w:tcW w:w="0" w:type="auto"/>
          </w:tcPr>
          <w:p w14:paraId="2DD666B2" w14:textId="77777777" w:rsidR="005D1369" w:rsidRPr="00201D85" w:rsidRDefault="00000000" w:rsidP="00AD3D30">
            <w:pPr>
              <w:pStyle w:val="Compact"/>
              <w:rPr>
                <w:rFonts w:ascii="Arial" w:hAnsi="Arial" w:cs="Arial"/>
                <w:b/>
                <w:color w:val="000000" w:themeColor="text1"/>
                <w:sz w:val="20"/>
                <w:szCs w:val="20"/>
              </w:rPr>
            </w:pPr>
            <w:r w:rsidRPr="00201D85">
              <w:rPr>
                <w:rFonts w:ascii="Arial" w:hAnsi="Arial" w:cs="Arial"/>
                <w:b/>
                <w:color w:val="000000" w:themeColor="text1"/>
                <w:sz w:val="20"/>
                <w:szCs w:val="20"/>
              </w:rPr>
              <w:t>How this thesis addresses it</w:t>
            </w:r>
          </w:p>
        </w:tc>
        <w:tc>
          <w:tcPr>
            <w:tcW w:w="0" w:type="auto"/>
          </w:tcPr>
          <w:p w14:paraId="152E8871" w14:textId="77777777" w:rsidR="005D1369" w:rsidRPr="00201D85" w:rsidRDefault="00000000" w:rsidP="00AD3D30">
            <w:pPr>
              <w:pStyle w:val="Compact"/>
              <w:rPr>
                <w:rFonts w:ascii="Arial" w:hAnsi="Arial" w:cs="Arial"/>
                <w:b/>
                <w:color w:val="000000" w:themeColor="text1"/>
                <w:sz w:val="20"/>
                <w:szCs w:val="20"/>
              </w:rPr>
            </w:pPr>
            <w:r w:rsidRPr="00201D85">
              <w:rPr>
                <w:rFonts w:ascii="Arial" w:hAnsi="Arial" w:cs="Arial"/>
                <w:b/>
                <w:color w:val="000000" w:themeColor="text1"/>
                <w:sz w:val="20"/>
                <w:szCs w:val="20"/>
              </w:rPr>
              <w:t>RQ</w:t>
            </w:r>
          </w:p>
        </w:tc>
      </w:tr>
      <w:tr w:rsidR="005D1369" w:rsidRPr="00AD3D30" w14:paraId="7B0F7C19" w14:textId="77777777" w:rsidTr="00201D85">
        <w:trPr>
          <w:trHeight w:val="3024"/>
        </w:trPr>
        <w:tc>
          <w:tcPr>
            <w:tcW w:w="0" w:type="auto"/>
          </w:tcPr>
          <w:p w14:paraId="5200CAC3"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E1</w:t>
            </w:r>
          </w:p>
        </w:tc>
        <w:tc>
          <w:tcPr>
            <w:tcW w:w="0" w:type="auto"/>
          </w:tcPr>
          <w:p w14:paraId="036F797A"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Empirical / Practical</w:t>
            </w:r>
          </w:p>
        </w:tc>
        <w:tc>
          <w:tcPr>
            <w:tcW w:w="0" w:type="auto"/>
          </w:tcPr>
          <w:p w14:paraId="6694009B"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Sustainability evidence in supply chains depends on incomplete or unverifiable data, and no study checks certification claims against public registries.</w:t>
            </w:r>
          </w:p>
        </w:tc>
        <w:tc>
          <w:tcPr>
            <w:tcW w:w="0" w:type="auto"/>
          </w:tcPr>
          <w:p w14:paraId="56E8187E"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A10: “Data gaps or inaccuracies can compromise the effectiveness of these tools” (Okogwu et al., 2023, p. 60). A1: “14% of published studies fail to disclose the underlying LCA software tool” (Akintayo et al., 2026, p. 8). A9 relies on “pre-assessed supplier scores”, which “may constrain generalizability” (Messaoudi et al., 2025, p. 554).</w:t>
            </w:r>
          </w:p>
        </w:tc>
        <w:tc>
          <w:tcPr>
            <w:tcW w:w="0" w:type="auto"/>
          </w:tcPr>
          <w:p w14:paraId="21007FFA" w14:textId="77777777" w:rsidR="005D1369" w:rsidRPr="00AD3D30" w:rsidRDefault="00000000" w:rsidP="00AD3D30">
            <w:pPr>
              <w:pStyle w:val="Compact"/>
              <w:rPr>
                <w:rFonts w:ascii="Arial" w:hAnsi="Arial" w:cs="Arial"/>
                <w:color w:val="000000" w:themeColor="text1"/>
                <w:sz w:val="20"/>
                <w:szCs w:val="20"/>
              </w:rPr>
            </w:pPr>
            <w:r>
              <w:rPr>
                <w:rFonts w:ascii="Arial" w:hAnsi="Arial" w:cs="Arial"/>
                <w:color w:val="000000" w:themeColor="text1"/>
                <w:sz w:val="20"/>
                <w:szCs w:val="20"/>
              </w:rPr>
              <w:t>Cross-checks certification wording in the FSC and PEFC public databases; audits a random label sample with Cohen’s kappa; reports aggregated results for MINAM, SUNAT, MINCETUR and PRODUCE.</w:t>
            </w:r>
          </w:p>
        </w:tc>
        <w:tc>
          <w:tcPr>
            <w:tcW w:w="0" w:type="auto"/>
          </w:tcPr>
          <w:p w14:paraId="2B3A6A5F" w14:textId="77777777" w:rsidR="005D1369" w:rsidRPr="00AD3D30" w:rsidRDefault="00000000" w:rsidP="00AD3D30">
            <w:pPr>
              <w:pStyle w:val="Compact"/>
              <w:rPr>
                <w:rFonts w:ascii="Arial" w:hAnsi="Arial" w:cs="Arial"/>
                <w:color w:val="000000" w:themeColor="text1"/>
                <w:sz w:val="20"/>
                <w:szCs w:val="20"/>
              </w:rPr>
            </w:pPr>
            <w:r>
              <w:rPr>
                <w:rFonts w:ascii="Arial" w:hAnsi="Arial" w:cs="Arial"/>
                <w:color w:val="000000" w:themeColor="text1"/>
                <w:sz w:val="20"/>
                <w:szCs w:val="20"/>
              </w:rPr>
              <w:t>RQ2</w:t>
            </w:r>
          </w:p>
        </w:tc>
      </w:tr>
      <w:tr w:rsidR="005D1369" w:rsidRPr="00AD3D30" w14:paraId="486E9375" w14:textId="77777777">
        <w:tc>
          <w:tcPr>
            <w:tcW w:w="0" w:type="auto"/>
          </w:tcPr>
          <w:p w14:paraId="1C18D72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E2</w:t>
            </w:r>
          </w:p>
        </w:tc>
        <w:tc>
          <w:tcPr>
            <w:tcW w:w="0" w:type="auto"/>
          </w:tcPr>
          <w:p w14:paraId="0001ACD6"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Empirical / Practical</w:t>
            </w:r>
          </w:p>
        </w:tc>
        <w:tc>
          <w:tcPr>
            <w:tcW w:w="0" w:type="auto"/>
          </w:tcPr>
          <w:p w14:paraId="5B5048C9"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Experts are used to select and weight criteria, not to explain observed patterns, so human and organizational reasoning stays outside the models.</w:t>
            </w:r>
          </w:p>
        </w:tc>
        <w:tc>
          <w:tcPr>
            <w:tcW w:w="0" w:type="auto"/>
          </w:tcPr>
          <w:p w14:paraId="320525F5"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A3: “relatively few studies provide concrete models for incorporating human behavior, decision-making variability” (Bukowski &amp; Werbinska-Wojciechowska, 2025, p. 43). A4 and A6 use experts to select and weight criteria, not to interpret outcomes (Dalalah et al., 2022, p. 11; Hosseini Dehshiri, 2026, p. 242).</w:t>
            </w:r>
          </w:p>
        </w:tc>
        <w:tc>
          <w:tcPr>
            <w:tcW w:w="0" w:type="auto"/>
          </w:tcPr>
          <w:p w14:paraId="0A8DEEAA" w14:textId="77777777" w:rsidR="005D1369" w:rsidRPr="00AD3D30" w:rsidRDefault="00000000" w:rsidP="00AD3D30">
            <w:pPr>
              <w:pStyle w:val="Compact"/>
              <w:rPr>
                <w:rFonts w:ascii="Arial" w:hAnsi="Arial" w:cs="Arial"/>
                <w:color w:val="000000" w:themeColor="text1"/>
                <w:sz w:val="20"/>
                <w:szCs w:val="20"/>
              </w:rPr>
            </w:pPr>
            <w:r>
              <w:rPr>
                <w:rFonts w:ascii="Arial" w:hAnsi="Arial" w:cs="Arial"/>
                <w:color w:val="000000" w:themeColor="text1"/>
                <w:sz w:val="20"/>
                <w:szCs w:val="20"/>
              </w:rPr>
              <w:t>Not addressed by this thesis: the positivist design measures which patterns exist, not how actors explain them. Recorded as a limitation and as future research.</w:t>
            </w:r>
          </w:p>
        </w:tc>
        <w:tc>
          <w:tcPr>
            <w:tcW w:w="0" w:type="auto"/>
          </w:tcPr>
          <w:p w14:paraId="0209AE41" w14:textId="77777777" w:rsidR="005D1369" w:rsidRPr="00AD3D30" w:rsidRDefault="00000000" w:rsidP="00AD3D30">
            <w:pPr>
              <w:pStyle w:val="Compact"/>
              <w:rPr>
                <w:rFonts w:ascii="Arial" w:hAnsi="Arial" w:cs="Arial"/>
                <w:color w:val="000000" w:themeColor="text1"/>
                <w:sz w:val="20"/>
                <w:szCs w:val="20"/>
              </w:rPr>
            </w:pPr>
            <w:r>
              <w:rPr>
                <w:rFonts w:ascii="Arial" w:hAnsi="Arial" w:cs="Arial"/>
                <w:color w:val="000000" w:themeColor="text1"/>
                <w:sz w:val="20"/>
                <w:szCs w:val="20"/>
              </w:rPr>
              <w:t>Future research</w:t>
            </w:r>
          </w:p>
        </w:tc>
      </w:tr>
    </w:tbl>
    <w:p w14:paraId="222DDA39" w14:textId="559457F3" w:rsidR="005D1369" w:rsidRPr="00201D85" w:rsidRDefault="00000000" w:rsidP="00201D85">
      <w:pPr>
        <w:pStyle w:val="Ttulo4"/>
        <w:rPr>
          <w:rFonts w:ascii="Arial" w:hAnsi="Arial" w:cs="Arial"/>
          <w:b/>
          <w:bCs w:val="0"/>
          <w:color w:val="000000" w:themeColor="text1"/>
          <w:sz w:val="20"/>
          <w:szCs w:val="20"/>
        </w:rPr>
      </w:pPr>
      <w:bookmarkStart w:id="17" w:name="table-3.1d-geographical-contextual-g"/>
      <w:bookmarkEnd w:id="16"/>
      <w:r w:rsidRPr="00201D85">
        <w:rPr>
          <w:rFonts w:ascii="Arial" w:hAnsi="Arial" w:cs="Arial"/>
          <w:b/>
          <w:bCs w:val="0"/>
          <w:color w:val="000000" w:themeColor="text1"/>
          <w:sz w:val="20"/>
          <w:szCs w:val="20"/>
        </w:rPr>
        <w:t>Table 3.1d — Geographical / Contextual (G)</w:t>
      </w:r>
      <w:r w:rsidR="00201D85">
        <w:rPr>
          <w:rFonts w:ascii="Arial" w:hAnsi="Arial" w:cs="Arial"/>
          <w:b/>
          <w:bCs w:val="0"/>
          <w:color w:val="000000" w:themeColor="text1"/>
          <w:sz w:val="20"/>
          <w:szCs w:val="20"/>
        </w:rPr>
        <w:br/>
      </w:r>
    </w:p>
    <w:tbl>
      <w:tblPr>
        <w:tblStyle w:val="Table"/>
        <w:tblW w:w="5000" w:type="pct"/>
        <w:tblLook w:val="0020" w:firstRow="1" w:lastRow="0" w:firstColumn="0" w:lastColumn="0" w:noHBand="0" w:noVBand="0"/>
      </w:tblPr>
      <w:tblGrid>
        <w:gridCol w:w="483"/>
        <w:gridCol w:w="1451"/>
        <w:gridCol w:w="1771"/>
        <w:gridCol w:w="2631"/>
        <w:gridCol w:w="1962"/>
        <w:gridCol w:w="756"/>
      </w:tblGrid>
      <w:tr w:rsidR="005D1369" w:rsidRPr="00201D85" w14:paraId="60BBC500" w14:textId="77777777" w:rsidTr="005D1369">
        <w:trPr>
          <w:cnfStyle w:val="100000000000" w:firstRow="1" w:lastRow="0" w:firstColumn="0" w:lastColumn="0" w:oddVBand="0" w:evenVBand="0" w:oddHBand="0" w:evenHBand="0" w:firstRowFirstColumn="0" w:firstRowLastColumn="0" w:lastRowFirstColumn="0" w:lastRowLastColumn="0"/>
          <w:tblHeader/>
        </w:trPr>
        <w:tc>
          <w:tcPr>
            <w:tcW w:w="0" w:type="auto"/>
          </w:tcPr>
          <w:p w14:paraId="54198B3B" w14:textId="77777777" w:rsidR="005D1369" w:rsidRPr="00201D85" w:rsidRDefault="00000000" w:rsidP="00AD3D30">
            <w:pPr>
              <w:pStyle w:val="Compact"/>
              <w:rPr>
                <w:rFonts w:ascii="Arial" w:hAnsi="Arial" w:cs="Arial"/>
                <w:b/>
                <w:color w:val="000000" w:themeColor="text1"/>
                <w:sz w:val="20"/>
                <w:szCs w:val="20"/>
              </w:rPr>
            </w:pPr>
            <w:r w:rsidRPr="00201D85">
              <w:rPr>
                <w:rFonts w:ascii="Arial" w:hAnsi="Arial" w:cs="Arial"/>
                <w:b/>
                <w:color w:val="000000" w:themeColor="text1"/>
                <w:sz w:val="20"/>
                <w:szCs w:val="20"/>
              </w:rPr>
              <w:t>#</w:t>
            </w:r>
          </w:p>
        </w:tc>
        <w:tc>
          <w:tcPr>
            <w:tcW w:w="0" w:type="auto"/>
          </w:tcPr>
          <w:p w14:paraId="72FF3E0E" w14:textId="77777777" w:rsidR="005D1369" w:rsidRPr="00201D85" w:rsidRDefault="00000000" w:rsidP="00AD3D30">
            <w:pPr>
              <w:pStyle w:val="Compact"/>
              <w:rPr>
                <w:rFonts w:ascii="Arial" w:hAnsi="Arial" w:cs="Arial"/>
                <w:b/>
                <w:color w:val="000000" w:themeColor="text1"/>
                <w:sz w:val="20"/>
                <w:szCs w:val="20"/>
              </w:rPr>
            </w:pPr>
            <w:r w:rsidRPr="00201D85">
              <w:rPr>
                <w:rFonts w:ascii="Arial" w:hAnsi="Arial" w:cs="Arial"/>
                <w:b/>
                <w:color w:val="000000" w:themeColor="text1"/>
                <w:sz w:val="20"/>
                <w:szCs w:val="20"/>
              </w:rPr>
              <w:t>Category</w:t>
            </w:r>
          </w:p>
        </w:tc>
        <w:tc>
          <w:tcPr>
            <w:tcW w:w="0" w:type="auto"/>
          </w:tcPr>
          <w:p w14:paraId="44FCA74E" w14:textId="77777777" w:rsidR="005D1369" w:rsidRPr="00201D85" w:rsidRDefault="00000000" w:rsidP="00AD3D30">
            <w:pPr>
              <w:pStyle w:val="Compact"/>
              <w:rPr>
                <w:rFonts w:ascii="Arial" w:hAnsi="Arial" w:cs="Arial"/>
                <w:b/>
                <w:color w:val="000000" w:themeColor="text1"/>
                <w:sz w:val="20"/>
                <w:szCs w:val="20"/>
              </w:rPr>
            </w:pPr>
            <w:r w:rsidRPr="00201D85">
              <w:rPr>
                <w:rFonts w:ascii="Arial" w:hAnsi="Arial" w:cs="Arial"/>
                <w:b/>
                <w:color w:val="000000" w:themeColor="text1"/>
                <w:sz w:val="20"/>
                <w:szCs w:val="20"/>
              </w:rPr>
              <w:t>Candidate gap</w:t>
            </w:r>
          </w:p>
        </w:tc>
        <w:tc>
          <w:tcPr>
            <w:tcW w:w="0" w:type="auto"/>
          </w:tcPr>
          <w:p w14:paraId="2BAB3DDE" w14:textId="77777777" w:rsidR="005D1369" w:rsidRPr="00201D85" w:rsidRDefault="00000000" w:rsidP="00AD3D30">
            <w:pPr>
              <w:pStyle w:val="Compact"/>
              <w:rPr>
                <w:rFonts w:ascii="Arial" w:hAnsi="Arial" w:cs="Arial"/>
                <w:b/>
                <w:color w:val="000000" w:themeColor="text1"/>
                <w:sz w:val="20"/>
                <w:szCs w:val="20"/>
              </w:rPr>
            </w:pPr>
            <w:r w:rsidRPr="00201D85">
              <w:rPr>
                <w:rFonts w:ascii="Arial" w:hAnsi="Arial" w:cs="Arial"/>
                <w:b/>
                <w:color w:val="000000" w:themeColor="text1"/>
                <w:sz w:val="20"/>
                <w:szCs w:val="20"/>
              </w:rPr>
              <w:t>Evidence from the corpus</w:t>
            </w:r>
          </w:p>
        </w:tc>
        <w:tc>
          <w:tcPr>
            <w:tcW w:w="0" w:type="auto"/>
          </w:tcPr>
          <w:p w14:paraId="63714204" w14:textId="77777777" w:rsidR="005D1369" w:rsidRPr="00201D85" w:rsidRDefault="00000000" w:rsidP="00AD3D30">
            <w:pPr>
              <w:pStyle w:val="Compact"/>
              <w:rPr>
                <w:rFonts w:ascii="Arial" w:hAnsi="Arial" w:cs="Arial"/>
                <w:b/>
                <w:color w:val="000000" w:themeColor="text1"/>
                <w:sz w:val="20"/>
                <w:szCs w:val="20"/>
              </w:rPr>
            </w:pPr>
            <w:r w:rsidRPr="00201D85">
              <w:rPr>
                <w:rFonts w:ascii="Arial" w:hAnsi="Arial" w:cs="Arial"/>
                <w:b/>
                <w:color w:val="000000" w:themeColor="text1"/>
                <w:sz w:val="20"/>
                <w:szCs w:val="20"/>
              </w:rPr>
              <w:t>How this thesis addresses it</w:t>
            </w:r>
          </w:p>
        </w:tc>
        <w:tc>
          <w:tcPr>
            <w:tcW w:w="0" w:type="auto"/>
          </w:tcPr>
          <w:p w14:paraId="0AFE8187" w14:textId="77777777" w:rsidR="005D1369" w:rsidRPr="00201D85" w:rsidRDefault="00000000" w:rsidP="00AD3D30">
            <w:pPr>
              <w:pStyle w:val="Compact"/>
              <w:rPr>
                <w:rFonts w:ascii="Arial" w:hAnsi="Arial" w:cs="Arial"/>
                <w:b/>
                <w:color w:val="000000" w:themeColor="text1"/>
                <w:sz w:val="20"/>
                <w:szCs w:val="20"/>
              </w:rPr>
            </w:pPr>
            <w:r w:rsidRPr="00201D85">
              <w:rPr>
                <w:rFonts w:ascii="Arial" w:hAnsi="Arial" w:cs="Arial"/>
                <w:b/>
                <w:color w:val="000000" w:themeColor="text1"/>
                <w:sz w:val="20"/>
                <w:szCs w:val="20"/>
              </w:rPr>
              <w:t>RQ</w:t>
            </w:r>
          </w:p>
        </w:tc>
      </w:tr>
      <w:tr w:rsidR="005D1369" w:rsidRPr="00AD3D30" w14:paraId="4A522601" w14:textId="77777777">
        <w:tc>
          <w:tcPr>
            <w:tcW w:w="0" w:type="auto"/>
          </w:tcPr>
          <w:p w14:paraId="1E816A3E"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G1</w:t>
            </w:r>
          </w:p>
        </w:tc>
        <w:tc>
          <w:tcPr>
            <w:tcW w:w="0" w:type="auto"/>
          </w:tcPr>
          <w:p w14:paraId="65D58CCF"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Geographical / Contextual</w:t>
            </w:r>
          </w:p>
        </w:tc>
        <w:tc>
          <w:tcPr>
            <w:tcW w:w="0" w:type="auto"/>
          </w:tcPr>
          <w:p w14:paraId="4C87DB8F"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 xml:space="preserve">No study is set in Latin America or Peru; the </w:t>
            </w:r>
            <w:r w:rsidRPr="00AD3D30">
              <w:rPr>
                <w:rFonts w:ascii="Arial" w:hAnsi="Arial" w:cs="Arial"/>
                <w:color w:val="000000" w:themeColor="text1"/>
                <w:sz w:val="20"/>
                <w:szCs w:val="20"/>
              </w:rPr>
              <w:lastRenderedPageBreak/>
              <w:t>evidence comes from Europe, the Middle East and Asia and is flagged as hard to transfer to emerging economies.</w:t>
            </w:r>
          </w:p>
        </w:tc>
        <w:tc>
          <w:tcPr>
            <w:tcW w:w="0" w:type="auto"/>
          </w:tcPr>
          <w:p w14:paraId="12FEC82E"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lastRenderedPageBreak/>
              <w:t xml:space="preserve">A2: results “should be interpreted cautiously when extrapolated to </w:t>
            </w:r>
            <w:r w:rsidRPr="00AD3D30">
              <w:rPr>
                <w:rFonts w:ascii="Arial" w:hAnsi="Arial" w:cs="Arial"/>
                <w:color w:val="000000" w:themeColor="text1"/>
                <w:sz w:val="20"/>
                <w:szCs w:val="20"/>
              </w:rPr>
              <w:lastRenderedPageBreak/>
              <w:t xml:space="preserve">emerging or resource-abundant economies” (Aydogan, 2026, p. 18). A1 calls for regional methods “to mitigate current geographical biases and alleviate data constraints in emerging economies” (Akintayo et al., 2026, p. 7). A4 responds to an “absence of tangible </w:t>
            </w:r>
            <w:proofErr w:type="gramStart"/>
            <w:r w:rsidRPr="00AD3D30">
              <w:rPr>
                <w:rFonts w:ascii="Arial" w:hAnsi="Arial" w:cs="Arial"/>
                <w:color w:val="000000" w:themeColor="text1"/>
                <w:sz w:val="20"/>
                <w:szCs w:val="20"/>
              </w:rPr>
              <w:t>evidences</w:t>
            </w:r>
            <w:proofErr w:type="gramEnd"/>
            <w:r w:rsidRPr="00AD3D30">
              <w:rPr>
                <w:rFonts w:ascii="Arial" w:hAnsi="Arial" w:cs="Arial"/>
                <w:color w:val="000000" w:themeColor="text1"/>
                <w:sz w:val="20"/>
                <w:szCs w:val="20"/>
              </w:rPr>
              <w:t>” for the Middle East (Dalalah et al., 2022, p. 20). A7 asks for circular-economy plans “at national and local levels” (Li et al., 2024, p. 549).</w:t>
            </w:r>
          </w:p>
        </w:tc>
        <w:tc>
          <w:tcPr>
            <w:tcW w:w="0" w:type="auto"/>
          </w:tcPr>
          <w:p w14:paraId="53524E46" w14:textId="77777777" w:rsidR="005D1369" w:rsidRPr="00AD3D30" w:rsidRDefault="00000000" w:rsidP="00AD3D30">
            <w:pPr>
              <w:pStyle w:val="Compact"/>
              <w:rPr>
                <w:rFonts w:ascii="Arial" w:hAnsi="Arial" w:cs="Arial"/>
                <w:color w:val="000000" w:themeColor="text1"/>
                <w:sz w:val="20"/>
                <w:szCs w:val="20"/>
              </w:rPr>
            </w:pPr>
            <w:r>
              <w:rPr>
                <w:rFonts w:ascii="Arial" w:hAnsi="Arial" w:cs="Arial"/>
                <w:color w:val="000000" w:themeColor="text1"/>
                <w:sz w:val="20"/>
                <w:szCs w:val="20"/>
              </w:rPr>
              <w:t>Studies Peru, an import-dependent emerging economy, for 2020–2025, and delivers documented cleaning rules, code and aggregated tables replicable in other Latin American countries.</w:t>
            </w:r>
          </w:p>
        </w:tc>
        <w:tc>
          <w:tcPr>
            <w:tcW w:w="0" w:type="auto"/>
          </w:tcPr>
          <w:p w14:paraId="1791AACD" w14:textId="77777777" w:rsidR="005D1369" w:rsidRPr="00AD3D30" w:rsidRDefault="00000000" w:rsidP="00AD3D30">
            <w:pPr>
              <w:pStyle w:val="Compact"/>
              <w:rPr>
                <w:rFonts w:ascii="Arial" w:hAnsi="Arial" w:cs="Arial"/>
                <w:color w:val="000000" w:themeColor="text1"/>
                <w:sz w:val="20"/>
                <w:szCs w:val="20"/>
              </w:rPr>
            </w:pPr>
            <w:r>
              <w:rPr>
                <w:rFonts w:ascii="Arial" w:hAnsi="Arial" w:cs="Arial"/>
                <w:color w:val="000000" w:themeColor="text1"/>
                <w:sz w:val="20"/>
                <w:szCs w:val="20"/>
              </w:rPr>
              <w:t>RQ1–RQ3</w:t>
            </w:r>
          </w:p>
        </w:tc>
      </w:tr>
      <w:tr w:rsidR="005D1369" w:rsidRPr="00AD3D30" w14:paraId="1EDE5591" w14:textId="77777777">
        <w:tc>
          <w:tcPr>
            <w:tcW w:w="0" w:type="auto"/>
          </w:tcPr>
          <w:p w14:paraId="4C88E2A8"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G2</w:t>
            </w:r>
          </w:p>
        </w:tc>
        <w:tc>
          <w:tcPr>
            <w:tcW w:w="0" w:type="auto"/>
          </w:tcPr>
          <w:p w14:paraId="3A6C2F42"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Geographical / Contextual</w:t>
            </w:r>
          </w:p>
        </w:tc>
        <w:tc>
          <w:tcPr>
            <w:tcW w:w="0" w:type="auto"/>
          </w:tcPr>
          <w:p w14:paraId="635DC3DA"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No study takes the import declaration as the unit of analysis; existing work operates at firm, supplier or country level.</w:t>
            </w:r>
          </w:p>
        </w:tc>
        <w:tc>
          <w:tcPr>
            <w:tcW w:w="0" w:type="auto"/>
          </w:tcPr>
          <w:p w14:paraId="1F2F69F9"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A2 models production in eleven producer economies (Aydogan, 2026, p. 1). A4 is implemented in one furniture manufacturer (Dalalah et al., 2022, p. 1). A6 and A9 select suppliers for one focal firm, the latter a German car manufacturer (Hosseini Dehshiri, 2026, p. 242; Messaoudi et al., 2025, p. 549).</w:t>
            </w:r>
          </w:p>
        </w:tc>
        <w:tc>
          <w:tcPr>
            <w:tcW w:w="0" w:type="auto"/>
          </w:tcPr>
          <w:p w14:paraId="79013EE2" w14:textId="77777777" w:rsidR="005D1369" w:rsidRPr="00AD3D30" w:rsidRDefault="00000000" w:rsidP="00AD3D30">
            <w:pPr>
              <w:pStyle w:val="Compact"/>
              <w:rPr>
                <w:rFonts w:ascii="Arial" w:hAnsi="Arial" w:cs="Arial"/>
                <w:color w:val="000000" w:themeColor="text1"/>
                <w:sz w:val="20"/>
                <w:szCs w:val="20"/>
              </w:rPr>
            </w:pPr>
            <w:r>
              <w:rPr>
                <w:rFonts w:ascii="Arial" w:hAnsi="Arial" w:cs="Arial"/>
                <w:color w:val="000000" w:themeColor="text1"/>
                <w:sz w:val="20"/>
                <w:szCs w:val="20"/>
              </w:rPr>
              <w:t>The unit of analysis is the import declaration line of tissue parent rolls (HS 4803.00.90, 4818.20 and 4818.90).</w:t>
            </w:r>
          </w:p>
        </w:tc>
        <w:tc>
          <w:tcPr>
            <w:tcW w:w="0" w:type="auto"/>
          </w:tcPr>
          <w:p w14:paraId="3FD6649B" w14:textId="77777777" w:rsidR="005D1369" w:rsidRPr="00AD3D30" w:rsidRDefault="00000000" w:rsidP="00AD3D30">
            <w:pPr>
              <w:pStyle w:val="Compact"/>
              <w:rPr>
                <w:rFonts w:ascii="Arial" w:hAnsi="Arial" w:cs="Arial"/>
                <w:color w:val="000000" w:themeColor="text1"/>
                <w:sz w:val="20"/>
                <w:szCs w:val="20"/>
              </w:rPr>
            </w:pPr>
            <w:r>
              <w:rPr>
                <w:rFonts w:ascii="Arial" w:hAnsi="Arial" w:cs="Arial"/>
                <w:color w:val="000000" w:themeColor="text1"/>
                <w:sz w:val="20"/>
                <w:szCs w:val="20"/>
              </w:rPr>
              <w:t>RQ1, RQ2</w:t>
            </w:r>
          </w:p>
        </w:tc>
      </w:tr>
    </w:tbl>
    <w:p w14:paraId="1F47420F" w14:textId="77777777" w:rsidR="005D1369" w:rsidRPr="00201D85" w:rsidRDefault="00000000" w:rsidP="00AD3D30">
      <w:pPr>
        <w:pStyle w:val="Ttulo3"/>
        <w:rPr>
          <w:rFonts w:ascii="Arial" w:hAnsi="Arial" w:cs="Arial"/>
          <w:color w:val="000000" w:themeColor="text1"/>
          <w:sz w:val="20"/>
          <w:szCs w:val="20"/>
          <w:u w:val="single"/>
        </w:rPr>
      </w:pPr>
      <w:bookmarkStart w:id="18" w:name="priority-gap-statement"/>
      <w:bookmarkEnd w:id="13"/>
      <w:bookmarkEnd w:id="17"/>
      <w:r w:rsidRPr="00201D85">
        <w:rPr>
          <w:rFonts w:ascii="Arial" w:hAnsi="Arial" w:cs="Arial"/>
          <w:color w:val="000000" w:themeColor="text1"/>
          <w:sz w:val="20"/>
          <w:szCs w:val="20"/>
          <w:u w:val="single"/>
        </w:rPr>
        <w:t>3.2 Priority gap statement</w:t>
      </w:r>
    </w:p>
    <w:p w14:paraId="0BBDFC37" w14:textId="77777777" w:rsidR="005D1369" w:rsidRPr="00AD3D30" w:rsidRDefault="00000000" w:rsidP="00201D85">
      <w:pPr>
        <w:pStyle w:val="FirstParagraph"/>
        <w:jc w:val="both"/>
        <w:rPr>
          <w:rFonts w:ascii="Arial" w:hAnsi="Arial" w:cs="Arial"/>
          <w:color w:val="000000" w:themeColor="text1"/>
          <w:sz w:val="20"/>
          <w:szCs w:val="20"/>
        </w:rPr>
      </w:pPr>
      <w:r w:rsidRPr="00AD3D30">
        <w:rPr>
          <w:rFonts w:ascii="Arial" w:hAnsi="Arial" w:cs="Arial"/>
          <w:color w:val="000000" w:themeColor="text1"/>
          <w:sz w:val="20"/>
          <w:szCs w:val="20"/>
        </w:rPr>
        <w:t>The eight gaps converge on one statement that the thesis adopts as its central gap:</w:t>
      </w:r>
    </w:p>
    <w:p w14:paraId="12817764" w14:textId="77777777" w:rsidR="005D1369" w:rsidRPr="00AD3D30" w:rsidRDefault="00000000" w:rsidP="00201D85">
      <w:pPr>
        <w:pStyle w:val="Textodebloque"/>
        <w:jc w:val="both"/>
        <w:rPr>
          <w:rFonts w:ascii="Arial" w:hAnsi="Arial" w:cs="Arial"/>
          <w:color w:val="000000" w:themeColor="text1"/>
          <w:sz w:val="20"/>
          <w:szCs w:val="20"/>
        </w:rPr>
      </w:pPr>
      <w:r>
        <w:rPr>
          <w:rFonts w:ascii="Arial" w:hAnsi="Arial" w:cs="Arial"/>
          <w:color w:val="000000" w:themeColor="text1"/>
          <w:sz w:val="20"/>
          <w:szCs w:val="20"/>
        </w:rPr>
        <w:t>No study in the reviewed corpus operationalizes sustainability at the level of customs import records, and none tests which customs variables predict sustainable imports; this absence is complete for Latin America and for import-dependent economies such as Peru.</w:t>
      </w:r>
    </w:p>
    <w:p w14:paraId="0BCDEDA8" w14:textId="77777777" w:rsidR="005D1369" w:rsidRPr="00AD3D30" w:rsidRDefault="00000000" w:rsidP="00201D85">
      <w:pPr>
        <w:pStyle w:val="FirstParagraph"/>
        <w:jc w:val="both"/>
        <w:rPr>
          <w:rFonts w:ascii="Arial" w:hAnsi="Arial" w:cs="Arial"/>
          <w:color w:val="000000" w:themeColor="text1"/>
          <w:sz w:val="20"/>
          <w:szCs w:val="20"/>
        </w:rPr>
      </w:pPr>
      <w:r>
        <w:rPr>
          <w:rFonts w:ascii="Arial" w:hAnsi="Arial" w:cs="Arial"/>
          <w:color w:val="000000" w:themeColor="text1"/>
          <w:sz w:val="20"/>
          <w:szCs w:val="20"/>
        </w:rPr>
        <w:t>T1 and M1 are the primary gaps because the other six depend on them: without a shipment-level construct and transaction-level data, neither explainable modelling (M2) nor the context (G1, G2) can be studied. This matches the gap stated in the Research Protocol (Deliverable N° 3, Section 04), now supported by page-cited evidence from a documented search.</w:t>
      </w:r>
    </w:p>
    <w:p w14:paraId="7622ED97" w14:textId="77777777" w:rsidR="005D1369" w:rsidRPr="00AD3D30" w:rsidRDefault="00000000" w:rsidP="00AD3D30">
      <w:pPr>
        <w:pStyle w:val="Ttulo2"/>
        <w:rPr>
          <w:rFonts w:ascii="Arial" w:hAnsi="Arial" w:cs="Arial"/>
          <w:color w:val="000000" w:themeColor="text1"/>
          <w:sz w:val="20"/>
          <w:szCs w:val="20"/>
        </w:rPr>
      </w:pPr>
      <w:bookmarkStart w:id="19" w:name="contribution-of-this-deliverable"/>
      <w:bookmarkEnd w:id="12"/>
      <w:bookmarkEnd w:id="18"/>
      <w:r w:rsidRPr="00AD3D30">
        <w:rPr>
          <w:rFonts w:ascii="Arial" w:hAnsi="Arial" w:cs="Arial"/>
          <w:color w:val="000000" w:themeColor="text1"/>
          <w:sz w:val="20"/>
          <w:szCs w:val="20"/>
        </w:rPr>
        <w:t>4. Contribution of this deliverable</w:t>
      </w:r>
    </w:p>
    <w:p w14:paraId="3501B676" w14:textId="77777777" w:rsidR="005D1369" w:rsidRPr="00AD3D30" w:rsidRDefault="00000000" w:rsidP="00D06B7A">
      <w:pPr>
        <w:pStyle w:val="FirstParagraph"/>
        <w:jc w:val="both"/>
        <w:rPr>
          <w:rFonts w:ascii="Arial" w:hAnsi="Arial" w:cs="Arial"/>
          <w:color w:val="000000" w:themeColor="text1"/>
          <w:sz w:val="20"/>
          <w:szCs w:val="20"/>
        </w:rPr>
      </w:pPr>
      <w:r>
        <w:rPr>
          <w:rFonts w:ascii="Arial" w:hAnsi="Arial" w:cs="Arial"/>
          <w:color w:val="000000" w:themeColor="text1"/>
          <w:sz w:val="20"/>
          <w:szCs w:val="20"/>
        </w:rPr>
        <w:t>This deliverable provides: (1) a documented and reproducible Boolean search; (2) a PRISMA 2020 diagram generated with the official tool and with verifiable mathematical consistency; (3) a table of 8 candidate gaps supported by cited evidence, which ground the RQ1–RQ3 sub-questions of the thesis.</w:t>
      </w:r>
    </w:p>
    <w:p w14:paraId="1DC1A968" w14:textId="77777777" w:rsidR="005D1369" w:rsidRPr="00AD3D30" w:rsidRDefault="00000000" w:rsidP="00D06B7A">
      <w:pPr>
        <w:pStyle w:val="Ttulo2"/>
        <w:jc w:val="both"/>
        <w:rPr>
          <w:rFonts w:ascii="Arial" w:hAnsi="Arial" w:cs="Arial"/>
          <w:color w:val="000000" w:themeColor="text1"/>
          <w:sz w:val="20"/>
          <w:szCs w:val="20"/>
        </w:rPr>
      </w:pPr>
      <w:bookmarkStart w:id="20" w:name="limitations-of-this-review"/>
      <w:bookmarkEnd w:id="19"/>
      <w:r w:rsidRPr="00AD3D30">
        <w:rPr>
          <w:rFonts w:ascii="Arial" w:hAnsi="Arial" w:cs="Arial"/>
          <w:color w:val="000000" w:themeColor="text1"/>
          <w:sz w:val="20"/>
          <w:szCs w:val="20"/>
        </w:rPr>
        <w:t>5. Limitations of this review</w:t>
      </w:r>
    </w:p>
    <w:p w14:paraId="298CBAC6" w14:textId="77777777" w:rsidR="005D1369" w:rsidRPr="00AD3D30" w:rsidRDefault="00000000" w:rsidP="00D06B7A">
      <w:pPr>
        <w:numPr>
          <w:ilvl w:val="0"/>
          <w:numId w:val="5"/>
        </w:numPr>
        <w:jc w:val="both"/>
        <w:rPr>
          <w:rFonts w:ascii="Arial" w:hAnsi="Arial" w:cs="Arial"/>
          <w:color w:val="000000" w:themeColor="text1"/>
          <w:sz w:val="20"/>
          <w:szCs w:val="20"/>
        </w:rPr>
      </w:pPr>
      <w:r w:rsidRPr="00AD3D30">
        <w:rPr>
          <w:rFonts w:ascii="Arial" w:hAnsi="Arial" w:cs="Arial"/>
          <w:b/>
          <w:bCs/>
          <w:color w:val="000000" w:themeColor="text1"/>
          <w:sz w:val="20"/>
          <w:szCs w:val="20"/>
        </w:rPr>
        <w:t>Search engine behavior.</w:t>
      </w:r>
      <w:r w:rsidRPr="00AD3D30">
        <w:rPr>
          <w:rFonts w:ascii="Arial" w:hAnsi="Arial" w:cs="Arial"/>
          <w:color w:val="000000" w:themeColor="text1"/>
          <w:sz w:val="20"/>
          <w:szCs w:val="20"/>
        </w:rPr>
        <w:t xml:space="preserve"> Semantic Scholar ranks results by relevance rather than applying strict Boolean logic. This explains why records from adjacent fields (A3, A7) </w:t>
      </w:r>
      <w:r w:rsidRPr="00AD3D30">
        <w:rPr>
          <w:rFonts w:ascii="Arial" w:hAnsi="Arial" w:cs="Arial"/>
          <w:color w:val="000000" w:themeColor="text1"/>
          <w:sz w:val="20"/>
          <w:szCs w:val="20"/>
        </w:rPr>
        <w:lastRenderedPageBreak/>
        <w:t>entered the pool; they were retained only because they met CI4 through their AI-and-sustainability or green-procurement content.</w:t>
      </w:r>
    </w:p>
    <w:p w14:paraId="16E5F60E" w14:textId="77777777" w:rsidR="005D1369" w:rsidRPr="00AD3D30" w:rsidRDefault="00000000" w:rsidP="00D06B7A">
      <w:pPr>
        <w:numPr>
          <w:ilvl w:val="0"/>
          <w:numId w:val="5"/>
        </w:numPr>
        <w:jc w:val="both"/>
        <w:rPr>
          <w:rFonts w:ascii="Arial" w:hAnsi="Arial" w:cs="Arial"/>
          <w:color w:val="000000" w:themeColor="text1"/>
          <w:sz w:val="20"/>
          <w:szCs w:val="20"/>
        </w:rPr>
      </w:pPr>
      <w:r w:rsidRPr="00AD3D30">
        <w:rPr>
          <w:rFonts w:ascii="Arial" w:hAnsi="Arial" w:cs="Arial"/>
          <w:b/>
          <w:bCs/>
          <w:color w:val="000000" w:themeColor="text1"/>
          <w:sz w:val="20"/>
          <w:szCs w:val="20"/>
        </w:rPr>
        <w:t>Two databases.</w:t>
      </w:r>
      <w:r w:rsidRPr="00AD3D30">
        <w:rPr>
          <w:rFonts w:ascii="Arial" w:hAnsi="Arial" w:cs="Arial"/>
          <w:color w:val="000000" w:themeColor="text1"/>
          <w:sz w:val="20"/>
          <w:szCs w:val="20"/>
        </w:rPr>
        <w:t xml:space="preserve"> </w:t>
      </w:r>
      <w:proofErr w:type="gramStart"/>
      <w:r w:rsidRPr="00AD3D30">
        <w:rPr>
          <w:rFonts w:ascii="Arial" w:hAnsi="Arial" w:cs="Arial"/>
          <w:color w:val="000000" w:themeColor="text1"/>
          <w:sz w:val="20"/>
          <w:szCs w:val="20"/>
        </w:rPr>
        <w:t>Web of</w:t>
      </w:r>
      <w:proofErr w:type="gramEnd"/>
      <w:r w:rsidRPr="00AD3D30">
        <w:rPr>
          <w:rFonts w:ascii="Arial" w:hAnsi="Arial" w:cs="Arial"/>
          <w:color w:val="000000" w:themeColor="text1"/>
          <w:sz w:val="20"/>
          <w:szCs w:val="20"/>
        </w:rPr>
        <w:t xml:space="preserve"> Science and SciELO were not searched. SciELO </w:t>
      </w:r>
      <w:proofErr w:type="gramStart"/>
      <w:r w:rsidRPr="00AD3D30">
        <w:rPr>
          <w:rFonts w:ascii="Arial" w:hAnsi="Arial" w:cs="Arial"/>
          <w:color w:val="000000" w:themeColor="text1"/>
          <w:sz w:val="20"/>
          <w:szCs w:val="20"/>
        </w:rPr>
        <w:t>in particular may</w:t>
      </w:r>
      <w:proofErr w:type="gramEnd"/>
      <w:r w:rsidRPr="00AD3D30">
        <w:rPr>
          <w:rFonts w:ascii="Arial" w:hAnsi="Arial" w:cs="Arial"/>
          <w:color w:val="000000" w:themeColor="text1"/>
          <w:sz w:val="20"/>
          <w:szCs w:val="20"/>
        </w:rPr>
        <w:t xml:space="preserve"> hold Latin American studies, so gap G1 is stated for this corpus, not for the whole literature.</w:t>
      </w:r>
    </w:p>
    <w:p w14:paraId="0F1D2C70" w14:textId="77777777" w:rsidR="005D1369" w:rsidRPr="00AD3D30" w:rsidRDefault="00000000" w:rsidP="00D06B7A">
      <w:pPr>
        <w:numPr>
          <w:ilvl w:val="0"/>
          <w:numId w:val="5"/>
        </w:numPr>
        <w:jc w:val="both"/>
        <w:rPr>
          <w:rFonts w:ascii="Arial" w:hAnsi="Arial" w:cs="Arial"/>
          <w:color w:val="000000" w:themeColor="text1"/>
          <w:sz w:val="20"/>
          <w:szCs w:val="20"/>
        </w:rPr>
      </w:pPr>
      <w:r w:rsidRPr="00AD3D30">
        <w:rPr>
          <w:rFonts w:ascii="Arial" w:hAnsi="Arial" w:cs="Arial"/>
          <w:b/>
          <w:bCs/>
          <w:color w:val="000000" w:themeColor="text1"/>
          <w:sz w:val="20"/>
          <w:szCs w:val="20"/>
        </w:rPr>
        <w:t>Single reviewer.</w:t>
      </w:r>
      <w:r w:rsidRPr="00AD3D30">
        <w:rPr>
          <w:rFonts w:ascii="Arial" w:hAnsi="Arial" w:cs="Arial"/>
          <w:color w:val="000000" w:themeColor="text1"/>
          <w:sz w:val="20"/>
          <w:szCs w:val="20"/>
        </w:rPr>
        <w:t xml:space="preserve"> Screening was done by one reviewer, so no inter-rater agreement is reported. This is the same limitation A3 declares for its own review (Bukowski &amp; Werbinska-Wojciechowska, 2025, p. 48).</w:t>
      </w:r>
    </w:p>
    <w:p w14:paraId="6D3E84C0" w14:textId="77777777" w:rsidR="005D1369" w:rsidRPr="00AD3D30" w:rsidRDefault="00000000" w:rsidP="00D06B7A">
      <w:pPr>
        <w:numPr>
          <w:ilvl w:val="0"/>
          <w:numId w:val="5"/>
        </w:numPr>
        <w:jc w:val="both"/>
        <w:rPr>
          <w:rFonts w:ascii="Arial" w:hAnsi="Arial" w:cs="Arial"/>
          <w:color w:val="000000" w:themeColor="text1"/>
          <w:sz w:val="20"/>
          <w:szCs w:val="20"/>
        </w:rPr>
      </w:pPr>
      <w:r w:rsidRPr="00AD3D30">
        <w:rPr>
          <w:rFonts w:ascii="Arial" w:hAnsi="Arial" w:cs="Arial"/>
          <w:b/>
          <w:bCs/>
          <w:color w:val="000000" w:themeColor="text1"/>
          <w:sz w:val="20"/>
          <w:szCs w:val="20"/>
        </w:rPr>
        <w:t>Mini-review scope.</w:t>
      </w:r>
      <w:r w:rsidRPr="00AD3D30">
        <w:rPr>
          <w:rFonts w:ascii="Arial" w:hAnsi="Arial" w:cs="Arial"/>
          <w:color w:val="000000" w:themeColor="text1"/>
          <w:sz w:val="20"/>
          <w:szCs w:val="20"/>
        </w:rPr>
        <w:t xml:space="preserve"> Ten studies support candidate gaps, not a definitive map of the field. The thesis literature review will extend the search with customs text-mining and Latin American green-trade studies, as the Research Protocol already anticipates.</w:t>
      </w:r>
    </w:p>
    <w:p w14:paraId="12779F35" w14:textId="77777777" w:rsidR="005D1369" w:rsidRPr="00AD3D30" w:rsidRDefault="00000000" w:rsidP="00AD3D30">
      <w:pPr>
        <w:pStyle w:val="Ttulo2"/>
        <w:rPr>
          <w:rFonts w:ascii="Arial" w:hAnsi="Arial" w:cs="Arial"/>
          <w:color w:val="000000" w:themeColor="text1"/>
          <w:sz w:val="20"/>
          <w:szCs w:val="20"/>
        </w:rPr>
      </w:pPr>
      <w:bookmarkStart w:id="21" w:name="methodological-references"/>
      <w:bookmarkEnd w:id="20"/>
      <w:r w:rsidRPr="00AD3D30">
        <w:rPr>
          <w:rFonts w:ascii="Arial" w:hAnsi="Arial" w:cs="Arial"/>
          <w:color w:val="000000" w:themeColor="text1"/>
          <w:sz w:val="20"/>
          <w:szCs w:val="20"/>
        </w:rPr>
        <w:t>6. Methodological references</w:t>
      </w:r>
    </w:p>
    <w:p w14:paraId="122365A3" w14:textId="77777777" w:rsidR="005D1369" w:rsidRPr="00AD3D30" w:rsidRDefault="00000000" w:rsidP="00AD3D30">
      <w:pPr>
        <w:pStyle w:val="FirstParagraph"/>
        <w:rPr>
          <w:rFonts w:ascii="Arial" w:hAnsi="Arial" w:cs="Arial"/>
          <w:color w:val="000000" w:themeColor="text1"/>
          <w:sz w:val="20"/>
          <w:szCs w:val="20"/>
        </w:rPr>
      </w:pPr>
      <w:r w:rsidRPr="00AD3D30">
        <w:rPr>
          <w:rFonts w:ascii="Arial" w:hAnsi="Arial" w:cs="Arial"/>
          <w:color w:val="000000" w:themeColor="text1"/>
          <w:sz w:val="20"/>
          <w:szCs w:val="20"/>
        </w:rPr>
        <w:t xml:space="preserve">Haddaway, N. R., Page, M. J., Pritchard, C. C., &amp; McGuinness, L. A. (2022). PRISMA2020: An R package and Shiny app for producing PRISMA 2020-compliant flow diagrams, with interactivity for optimised digital transparency and Open Synthesis. </w:t>
      </w:r>
      <w:r w:rsidRPr="00AD3D30">
        <w:rPr>
          <w:rFonts w:ascii="Arial" w:hAnsi="Arial" w:cs="Arial"/>
          <w:i/>
          <w:iCs/>
          <w:color w:val="000000" w:themeColor="text1"/>
          <w:sz w:val="20"/>
          <w:szCs w:val="20"/>
        </w:rPr>
        <w:t>Campbell Systematic Reviews, 18</w:t>
      </w:r>
      <w:r w:rsidRPr="00AD3D30">
        <w:rPr>
          <w:rFonts w:ascii="Arial" w:hAnsi="Arial" w:cs="Arial"/>
          <w:color w:val="000000" w:themeColor="text1"/>
          <w:sz w:val="20"/>
          <w:szCs w:val="20"/>
        </w:rPr>
        <w:t>(2), e1230. https://doi.org/10.1002/cl2.1230</w:t>
      </w:r>
    </w:p>
    <w:p w14:paraId="72FEC639" w14:textId="77777777" w:rsidR="005D1369" w:rsidRPr="00AD3D30" w:rsidRDefault="00000000" w:rsidP="00AD3D30">
      <w:pPr>
        <w:pStyle w:val="Textoindependiente"/>
        <w:rPr>
          <w:rFonts w:ascii="Arial" w:hAnsi="Arial" w:cs="Arial"/>
          <w:color w:val="000000" w:themeColor="text1"/>
          <w:sz w:val="20"/>
          <w:szCs w:val="20"/>
        </w:rPr>
      </w:pPr>
      <w:r w:rsidRPr="00AD3D30">
        <w:rPr>
          <w:rFonts w:ascii="Arial" w:hAnsi="Arial" w:cs="Arial"/>
          <w:color w:val="000000" w:themeColor="text1"/>
          <w:sz w:val="20"/>
          <w:szCs w:val="20"/>
        </w:rP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sidRPr="00AD3D30">
        <w:rPr>
          <w:rFonts w:ascii="Arial" w:hAnsi="Arial" w:cs="Arial"/>
          <w:i/>
          <w:iCs/>
          <w:color w:val="000000" w:themeColor="text1"/>
          <w:sz w:val="20"/>
          <w:szCs w:val="20"/>
        </w:rPr>
        <w:t>BMJ, 372</w:t>
      </w:r>
      <w:r w:rsidRPr="00AD3D30">
        <w:rPr>
          <w:rFonts w:ascii="Arial" w:hAnsi="Arial" w:cs="Arial"/>
          <w:color w:val="000000" w:themeColor="text1"/>
          <w:sz w:val="20"/>
          <w:szCs w:val="20"/>
        </w:rPr>
        <w:t>, n71. https://doi.org/10.1136/bmj.n71</w:t>
      </w:r>
    </w:p>
    <w:p w14:paraId="330778C3" w14:textId="77777777" w:rsidR="005D1369" w:rsidRPr="00AD3D30" w:rsidRDefault="00000000" w:rsidP="00AD3D30">
      <w:pPr>
        <w:pStyle w:val="Textoindependiente"/>
        <w:rPr>
          <w:rFonts w:ascii="Arial" w:hAnsi="Arial" w:cs="Arial"/>
          <w:color w:val="000000" w:themeColor="text1"/>
          <w:sz w:val="20"/>
          <w:szCs w:val="20"/>
        </w:rPr>
      </w:pPr>
      <w:r w:rsidRPr="00AD3D30">
        <w:rPr>
          <w:rFonts w:ascii="Arial" w:hAnsi="Arial" w:cs="Arial"/>
          <w:color w:val="000000" w:themeColor="text1"/>
          <w:sz w:val="20"/>
          <w:szCs w:val="20"/>
        </w:rPr>
        <w:t>The ten included articles are referenced in APA 7th edition in Section 1.4.</w:t>
      </w:r>
      <w:bookmarkEnd w:id="0"/>
      <w:bookmarkEnd w:id="21"/>
    </w:p>
    <w:sectPr w:rsidR="005D1369" w:rsidRPr="00AD3D30" w:rsidSect="00201D85">
      <w:pgSz w:w="12240" w:h="15840"/>
      <w:pgMar w:top="993"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78DDD" w14:textId="77777777" w:rsidR="00CA11E0" w:rsidRDefault="00CA11E0">
      <w:pPr>
        <w:spacing w:after="0"/>
      </w:pPr>
      <w:r>
        <w:separator/>
      </w:r>
    </w:p>
  </w:endnote>
  <w:endnote w:type="continuationSeparator" w:id="0">
    <w:p w14:paraId="569399D5" w14:textId="77777777" w:rsidR="00CA11E0" w:rsidRDefault="00CA11E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5A6EA" w14:textId="77777777" w:rsidR="00CA11E0" w:rsidRDefault="00CA11E0">
      <w:r>
        <w:separator/>
      </w:r>
    </w:p>
  </w:footnote>
  <w:footnote w:type="continuationSeparator" w:id="0">
    <w:p w14:paraId="46B48320" w14:textId="77777777" w:rsidR="00CA11E0" w:rsidRDefault="00CA11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860CA1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444EDE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2B6F2E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38877719">
    <w:abstractNumId w:val="0"/>
  </w:num>
  <w:num w:numId="2" w16cid:durableId="5897017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18959169">
    <w:abstractNumId w:val="1"/>
  </w:num>
  <w:num w:numId="4" w16cid:durableId="1900900485">
    <w:abstractNumId w:val="1"/>
  </w:num>
  <w:num w:numId="5" w16cid:durableId="15972097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D1369"/>
    <w:rsid w:val="00201D85"/>
    <w:rsid w:val="00521124"/>
    <w:rsid w:val="005D1369"/>
    <w:rsid w:val="00AD3D30"/>
    <w:rsid w:val="00CA11E0"/>
    <w:rsid w:val="00D06B7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8E4B5"/>
  <w15:docId w15:val="{53C71ABC-BD46-4657-A14B-AA8E65A0C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cinsinresolver">
    <w:name w:val="Unresolved Mention"/>
    <w:basedOn w:val="Fuentedeprrafopredeter"/>
    <w:uiPriority w:val="99"/>
    <w:semiHidden/>
    <w:unhideWhenUsed/>
    <w:rsid w:val="00AD3D30"/>
    <w:rPr>
      <w:color w:val="605E5C"/>
      <w:shd w:val="clear" w:color="auto" w:fill="E1DFDD"/>
    </w:rPr>
  </w:style>
  <w:style w:type="paragraph" w:styleId="Prrafodelista">
    <w:name w:val="List Paragraph"/>
    <w:basedOn w:val="Normal"/>
    <w:rsid w:val="00AD3D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doi.org/10.1007/s10342-026-01907-4" TargetMode="External"/><Relationship Id="rId4" Type="http://schemas.openxmlformats.org/officeDocument/2006/relationships/settings" Target="settings.xml"/><Relationship Id="rId9" Type="http://schemas.openxmlformats.org/officeDocument/2006/relationships/hyperlink" Target="https://doi.org/10.1016/j.clscn.2026.1003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5BBB32-1606-416E-A791-7FC52281B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12</Pages>
  <Words>3657</Words>
  <Characters>20408</Characters>
  <Application>Microsoft Office Word</Application>
  <DocSecurity>0</DocSecurity>
  <Lines>537</Lines>
  <Paragraphs>325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Angela Acosta Ticona</cp:lastModifiedBy>
  <cp:revision>2</cp:revision>
  <dcterms:created xsi:type="dcterms:W3CDTF">2026-09-29T20:29:00Z</dcterms:created>
  <dcterms:modified xsi:type="dcterms:W3CDTF">2026-09-29T21:09:00Z</dcterms:modified>
</cp:coreProperties>
</file>